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ind w:hanging="0" w:start="0"/>
        <w:rPr/>
      </w:pPr>
      <w:r>
        <w:rPr>
          <w:rFonts w:cs="Calibri"/>
          <w:b/>
          <w:bCs/>
          <w:sz w:val="24"/>
          <w:szCs w:val="24"/>
        </w:rPr>
        <w:t>Concept Profile — Field Dip (Week 6)</w:t>
      </w:r>
    </w:p>
    <w:p>
      <w:pPr>
        <w:pStyle w:val="ListParagraph"/>
        <w:spacing w:lineRule="auto" w:line="276" w:before="0" w:after="200"/>
        <w:ind w:hanging="0" w:start="0"/>
        <w:contextualSpacing/>
        <w:rPr/>
      </w:pPr>
      <w:r>
        <w:rPr>
          <w:rFonts w:cs="Calibri"/>
          <w:b/>
          <w:bCs/>
          <w:sz w:val="24"/>
          <w:szCs w:val="24"/>
        </w:rPr>
        <w:t>TCE 318P FA26 (Edwards)</w:t>
      </w:r>
    </w:p>
    <w:p>
      <w:pPr>
        <w:pStyle w:val="ListParagraph"/>
        <w:spacing w:lineRule="auto" w:line="276" w:before="0" w:after="200"/>
        <w:ind w:hanging="0" w:start="0"/>
        <w:contextualSpacing/>
        <w:rPr/>
      </w:pPr>
      <w:r>
        <w:rPr>
          <w:rFonts w:cs="Calibri"/>
          <w:b/>
          <w:bCs/>
          <w:sz w:val="24"/>
          <w:szCs w:val="24"/>
        </w:rPr>
        <w:t>20 points possible</w:t>
      </w:r>
    </w:p>
    <w:p>
      <w:pPr>
        <w:pStyle w:val="Heading2"/>
        <w:rPr/>
      </w:pPr>
      <w:r>
        <w:rPr>
          <w:rFonts w:eastAsia="ＭＳ ゴシック" w:cs="Calibri" w:eastAsiaTheme="majorEastAsia"/>
          <w:b/>
          <w:bCs/>
          <w:color w:themeColor="accent1" w:val="4F81BD"/>
          <w:sz w:val="24"/>
          <w:szCs w:val="24"/>
        </w:rPr>
        <w:t>1. What's This All About?</w:t>
      </w:r>
    </w:p>
    <w:p>
      <w:pPr>
        <w:pStyle w:val="Normal"/>
        <w:spacing w:lineRule="auto" w:line="276" w:before="0" w:after="200"/>
        <w:rPr/>
      </w:pPr>
      <w:r>
        <w:rPr>
          <w:rFonts w:eastAsia="ＭＳ 明朝" w:cs="Calibri" w:eastAsiaTheme="minorEastAsia"/>
          <w:sz w:val="22"/>
          <w:szCs w:val="22"/>
        </w:rPr>
        <w:t>Week 6 is your field dip — your first days in the classroom you'll teach in. Across Act I you rehearsed the responsive-teaching moves (learner, listener, poser, lesson planner, assessor) on student work we handed you. Now you meet real children and real mathematics. This week you do one thing that will anchor the rest of the semester: with your host teacher, you identify ONE mathematical concept you'll investigate, you find two or three students whose thinking will help you investigate it, and you collect some of their actual mathematics work on that concept.</w:t>
      </w:r>
    </w:p>
    <w:p>
      <w:pPr>
        <w:pStyle w:val="Normal"/>
        <w:spacing w:lineRule="auto" w:line="276" w:before="0" w:after="200"/>
        <w:rPr/>
      </w:pPr>
      <w:r>
        <w:rPr>
          <w:rFonts w:eastAsia="ＭＳ 明朝" w:cs="Calibri" w:eastAsiaTheme="minorEastAsia"/>
          <w:sz w:val="22"/>
          <w:szCs w:val="22"/>
        </w:rPr>
        <w:t xml:space="preserve">That concept, those students, and that collected work are the </w:t>
      </w:r>
      <w:r>
        <w:rPr>
          <w:rFonts w:eastAsia="ＭＳ 明朝" w:cs="Calibri" w:eastAsiaTheme="minorEastAsia"/>
          <w:b/>
          <w:bCs/>
          <w:sz w:val="22"/>
          <w:szCs w:val="22"/>
        </w:rPr>
        <w:t>seed of your field investigation.</w:t>
      </w:r>
      <w:r>
        <w:rPr>
          <w:rFonts w:eastAsia="ＭＳ 明朝" w:cs="Calibri" w:eastAsiaTheme="minorEastAsia"/>
          <w:sz w:val="22"/>
          <w:szCs w:val="22"/>
        </w:rPr>
        <w:t xml:space="preserve"> The question you formalize next week (Week 7) grows directly out of what you notice here — how do students understand this concept? The lesson you design in Weeks 8–10 — a routine (before), a rich task (during), and a way to capture the thinking (after) — is designed to give you insight into the concept you've identified and the ways students engage with it; you carry it back to the same classroom in the Weeks 11–12 immersion. Concept → question → design → collect → analyze → share. It starts with choosing a mathematical idea worth looking at closely.</w:t>
      </w:r>
    </w:p>
    <w:p>
      <w:pPr>
        <w:pStyle w:val="Heading2"/>
        <w:rPr/>
      </w:pPr>
      <w:r>
        <w:rPr>
          <w:rFonts w:eastAsia="ＭＳ ゴシック" w:cs="Calibri" w:eastAsiaTheme="majorEastAsia"/>
          <w:b/>
          <w:bCs/>
          <w:color w:themeColor="accent1" w:val="4F81BD"/>
          <w:sz w:val="24"/>
          <w:szCs w:val="24"/>
        </w:rPr>
        <w:t>2. What Do I Need to Do?</w:t>
      </w:r>
    </w:p>
    <w:p>
      <w:pPr>
        <w:pStyle w:val="Normal"/>
        <w:spacing w:lineRule="auto" w:line="276" w:before="0" w:after="200"/>
        <w:rPr/>
      </w:pPr>
      <w:r>
        <w:rPr>
          <w:rFonts w:eastAsia="ＭＳ 明朝" w:cs="Calibri" w:eastAsiaTheme="minorEastAsia"/>
          <w:sz w:val="22"/>
          <w:szCs w:val="22"/>
        </w:rPr>
        <w:t>Spend your field days getting oriented, then build a short Concept Profile. The concept is the spine; the student work and classroom context show you how it lives in real thinking.</w:t>
      </w:r>
    </w:p>
    <w:p>
      <w:pPr>
        <w:pStyle w:val="ListNumber"/>
        <w:numPr>
          <w:ilvl w:val="0"/>
          <w:numId w:val="4"/>
        </w:numPr>
        <w:ind w:hanging="360" w:start="360"/>
        <w:rPr/>
      </w:pPr>
      <w:r>
        <w:rPr>
          <w:rFonts w:eastAsia="ＭＳ 明朝" w:cs="Calibri" w:eastAsiaTheme="minorEastAsia"/>
          <w:b/>
          <w:bCs/>
          <w:sz w:val="22"/>
          <w:szCs w:val="22"/>
        </w:rPr>
        <w:t>Connect with your host teacher.</w:t>
      </w:r>
      <w:r>
        <w:rPr>
          <w:rFonts w:eastAsia="ＭＳ 明朝" w:cs="Calibri" w:eastAsiaTheme="minorEastAsia"/>
          <w:sz w:val="22"/>
          <w:szCs w:val="22"/>
        </w:rPr>
        <w:t xml:space="preserve"> Learn their teaching style and one “non-negotiable” they hold for teaching mathematics, and get the scope and sequence for the math you'll see in the Weeks 11–12 immersion — this is where you'll find a concept worth investigating.</w:t>
      </w:r>
    </w:p>
    <w:p>
      <w:pPr>
        <w:pStyle w:val="ListNumber"/>
        <w:numPr>
          <w:ilvl w:val="0"/>
          <w:numId w:val="4"/>
        </w:numPr>
        <w:ind w:hanging="360" w:start="360"/>
        <w:rPr/>
      </w:pPr>
      <w:r>
        <w:rPr>
          <w:rFonts w:eastAsia="ＭＳ 明朝" w:cs="Calibri" w:eastAsiaTheme="minorEastAsia"/>
          <w:b/>
          <w:bCs/>
          <w:sz w:val="22"/>
          <w:szCs w:val="22"/>
        </w:rPr>
        <w:t>Choose your concept.</w:t>
      </w:r>
      <w:r>
        <w:rPr>
          <w:rFonts w:eastAsia="ＭＳ 明朝" w:cs="Calibri" w:eastAsiaTheme="minorEastAsia"/>
          <w:sz w:val="22"/>
          <w:szCs w:val="22"/>
        </w:rPr>
        <w:t xml:space="preserve"> Name ONE specific mathematical concept from the grade-level math you'll teach — for example fractions of a set, place value, equivalence, multiplicative comparison. Not a whole strand (“fractions”) and not a bare skill (“adding fractions”). Choose an idea students build understanding of. Pick it with your host teacher's guidance so it fits what the class is actually working on.</w:t>
      </w:r>
    </w:p>
    <w:p>
      <w:pPr>
        <w:pStyle w:val="ListNumber"/>
        <w:numPr>
          <w:ilvl w:val="0"/>
          <w:numId w:val="4"/>
        </w:numPr>
        <w:ind w:hanging="360" w:start="360"/>
        <w:rPr/>
      </w:pPr>
      <w:r>
        <w:rPr>
          <w:rFonts w:eastAsia="ＭＳ 明朝" w:cs="Calibri" w:eastAsiaTheme="minorEastAsia"/>
          <w:b/>
          <w:bCs/>
          <w:sz w:val="22"/>
          <w:szCs w:val="22"/>
        </w:rPr>
        <w:t>Find the students who'll help you investigate it.</w:t>
      </w:r>
      <w:r>
        <w:rPr>
          <w:rFonts w:eastAsia="ＭＳ 明朝" w:cs="Calibri" w:eastAsiaTheme="minorEastAsia"/>
          <w:sz w:val="22"/>
          <w:szCs w:val="22"/>
        </w:rPr>
        <w:t xml:space="preserve"> With your host teacher, identify two or three focus students whose mathematics work on this concept you'll follow. Give each a pseudonym now (e.g., “Jordan”). Real names never leave the classroom.</w:t>
      </w:r>
    </w:p>
    <w:p>
      <w:pPr>
        <w:pStyle w:val="ListNumber"/>
        <w:numPr>
          <w:ilvl w:val="0"/>
          <w:numId w:val="4"/>
        </w:numPr>
        <w:ind w:hanging="360" w:start="360"/>
        <w:rPr/>
      </w:pPr>
      <w:r>
        <w:rPr>
          <w:rFonts w:eastAsia="ＭＳ 明朝" w:cs="Calibri" w:eastAsiaTheme="minorEastAsia"/>
          <w:b/>
          <w:bCs/>
          <w:sz w:val="22"/>
          <w:szCs w:val="22"/>
        </w:rPr>
        <w:t>Name your question — a first read.</w:t>
      </w:r>
      <w:r>
        <w:rPr>
          <w:rFonts w:eastAsia="ＭＳ 明朝" w:cs="Calibri" w:eastAsiaTheme="minorEastAsia"/>
          <w:sz w:val="22"/>
          <w:szCs w:val="22"/>
        </w:rPr>
        <w:t xml:space="preserve"> In a sentence or two, describe what you want to understand about how students think about this concept. This is the seed of next week's research question, a genuine question about the mathematics (“how do students reason about equal shares of a set?”), not a diagnosis of a child (“they struggle with fractions”). </w:t>
      </w:r>
    </w:p>
    <w:p>
      <w:pPr>
        <w:pStyle w:val="ListNumber"/>
        <w:numPr>
          <w:ilvl w:val="0"/>
          <w:numId w:val="4"/>
        </w:numPr>
        <w:ind w:hanging="360" w:start="360"/>
        <w:rPr/>
      </w:pPr>
      <w:r>
        <w:rPr>
          <w:rFonts w:eastAsia="ＭＳ 明朝" w:cs="Calibri" w:eastAsiaTheme="minorEastAsia"/>
          <w:b/>
          <w:bCs/>
          <w:sz w:val="22"/>
          <w:szCs w:val="22"/>
        </w:rPr>
        <w:t>Collect work that reveals the thinking.</w:t>
      </w:r>
      <w:r>
        <w:rPr>
          <w:rFonts w:eastAsia="ＭＳ 明朝" w:cs="Calibri" w:eastAsiaTheme="minorEastAsia"/>
          <w:sz w:val="22"/>
          <w:szCs w:val="22"/>
        </w:rPr>
        <w:t xml:space="preserve"> Collect 3–5 work samples across your two or three focus students, from your field days. De-identify every piece (remove the name; a pseudonym or nothing). The goal is enough evidence of student thinking that you have materials to plan against. These same students are the ones whose work you collect and analyze during your lesson enactment in Weeks 11–12.</w:t>
      </w:r>
    </w:p>
    <w:p>
      <w:pPr>
        <w:pStyle w:val="ListNumber"/>
        <w:numPr>
          <w:ilvl w:val="0"/>
          <w:numId w:val="4"/>
        </w:numPr>
        <w:ind w:hanging="360" w:start="360"/>
        <w:rPr/>
      </w:pPr>
      <w:r>
        <w:rPr>
          <w:rFonts w:eastAsia="ＭＳ 明朝" w:cs="Calibri" w:eastAsiaTheme="minorEastAsia"/>
          <w:b/>
          <w:bCs/>
          <w:sz w:val="22"/>
          <w:szCs w:val="22"/>
        </w:rPr>
        <w:t>Locate the math.</w:t>
      </w:r>
      <w:r>
        <w:rPr>
          <w:rFonts w:eastAsia="ＭＳ 明朝" w:cs="Calibri" w:eastAsiaTheme="minorEastAsia"/>
          <w:sz w:val="22"/>
          <w:szCs w:val="22"/>
        </w:rPr>
        <w:t xml:space="preserve"> In the Planner (2a), choose at least one Ohio content standard and one Standard for Mathematical Practice that fit your concept.</w:t>
      </w:r>
    </w:p>
    <w:p>
      <w:pPr>
        <w:pStyle w:val="ListNumber"/>
        <w:numPr>
          <w:ilvl w:val="0"/>
          <w:numId w:val="4"/>
        </w:numPr>
        <w:ind w:hanging="360" w:start="360"/>
        <w:rPr/>
      </w:pPr>
      <w:r>
        <w:rPr>
          <w:rFonts w:eastAsia="ＭＳ 明朝" w:cs="Calibri" w:eastAsiaTheme="minorEastAsia"/>
          <w:b/>
          <w:bCs/>
          <w:sz w:val="22"/>
          <w:szCs w:val="22"/>
        </w:rPr>
        <w:t>Read what is known about it.</w:t>
      </w:r>
      <w:r>
        <w:rPr>
          <w:rFonts w:eastAsia="ＭＳ 明朝" w:cs="Calibri" w:eastAsiaTheme="minorEastAsia"/>
          <w:sz w:val="22"/>
          <w:szCs w:val="22"/>
        </w:rPr>
        <w:t xml:space="preserve"> Find one to three sources on how students understand this concept — at least one from the research literature, each with its link or DOI and a few sentences in your own words.</w:t>
      </w:r>
    </w:p>
    <w:p>
      <w:pPr>
        <w:pStyle w:val="ListNumber"/>
        <w:numPr>
          <w:ilvl w:val="0"/>
          <w:numId w:val="4"/>
        </w:numPr>
        <w:ind w:hanging="360" w:start="360"/>
        <w:rPr/>
      </w:pPr>
      <w:r>
        <w:rPr>
          <w:rFonts w:eastAsia="ＭＳ 明朝" w:cs="Calibri" w:eastAsiaTheme="minorEastAsia"/>
          <w:b/>
          <w:bCs/>
          <w:sz w:val="22"/>
          <w:szCs w:val="22"/>
        </w:rPr>
        <w:t>Write it up.</w:t>
      </w:r>
      <w:r>
        <w:rPr>
          <w:rFonts w:eastAsia="ＭＳ 明朝" w:cs="Calibri" w:eastAsiaTheme="minorEastAsia"/>
          <w:sz w:val="22"/>
          <w:szCs w:val="22"/>
        </w:rPr>
        <w:t xml:space="preserve"> A 1–2 page profile with clear headings: host-teacher &amp; classroom context · the concept · the students · the question I'm asking · the collected work (described) · standards · what the research says.</w:t>
      </w:r>
    </w:p>
    <w:p>
      <w:pPr>
        <w:pStyle w:val="Heading2"/>
        <w:pageBreakBefore/>
        <w:rPr>
          <w:rFonts w:ascii="Calibri" w:hAnsi="Calibri" w:eastAsia="ＭＳ ゴシック" w:cs="Calibri" w:asciiTheme="majorHAnsi" w:eastAsiaTheme="majorEastAsia" w:hAnsiTheme="majorHAnsi"/>
          <w:b/>
          <w:bCs/>
          <w:color w:themeColor="accent1" w:val="4F81BD"/>
          <w:sz w:val="24"/>
          <w:szCs w:val="24"/>
        </w:rPr>
      </w:pPr>
      <w:r>
        <w:rPr>
          <w:rFonts w:eastAsia="ＭＳ ゴシック" w:cs="Calibri" w:eastAsiaTheme="majorEastAsia"/>
          <w:b/>
          <w:bCs/>
          <w:color w:themeColor="accent1" w:val="4F81BD"/>
          <w:sz w:val="24"/>
          <w:szCs w:val="24"/>
        </w:rPr>
        <w:t>3. Length &amp; Format</w:t>
      </w:r>
    </w:p>
    <w:p>
      <w:pPr>
        <w:pStyle w:val="ListBullet"/>
        <w:numPr>
          <w:ilvl w:val="0"/>
          <w:numId w:val="1"/>
        </w:numPr>
        <w:ind w:hanging="360" w:start="360"/>
        <w:rPr/>
      </w:pPr>
      <w:r>
        <w:rPr>
          <w:rFonts w:eastAsia="ＭＳ 明朝" w:cs="Calibri" w:eastAsiaTheme="minorEastAsia"/>
          <w:sz w:val="22"/>
          <w:szCs w:val="22"/>
        </w:rPr>
        <w:t>One to two pages, typed, single-spaced, 12pt — plus the three to five collected work samples attached.</w:t>
      </w:r>
    </w:p>
    <w:p>
      <w:pPr>
        <w:pStyle w:val="ListBullet"/>
        <w:numPr>
          <w:ilvl w:val="0"/>
          <w:numId w:val="1"/>
        </w:numPr>
        <w:ind w:hanging="360" w:start="360"/>
        <w:rPr/>
      </w:pPr>
      <w:r>
        <w:rPr>
          <w:rFonts w:eastAsia="ＭＳ 明朝" w:cs="Calibri" w:eastAsiaTheme="minorEastAsia"/>
          <w:sz w:val="22"/>
          <w:szCs w:val="22"/>
        </w:rPr>
        <w:t>Pseudonyms only. No student names or identifying details anywhere in the write-up OR the attached work. De-identification is absolute (FERPA).</w:t>
      </w:r>
    </w:p>
    <w:p>
      <w:pPr>
        <w:pStyle w:val="ListBullet"/>
        <w:numPr>
          <w:ilvl w:val="0"/>
          <w:numId w:val="1"/>
        </w:numPr>
        <w:ind w:hanging="360" w:start="360"/>
        <w:rPr/>
      </w:pPr>
      <w:r>
        <w:rPr>
          <w:rFonts w:eastAsia="ＭＳ 明朝" w:cs="Calibri" w:eastAsiaTheme="minorEastAsia"/>
          <w:sz w:val="22"/>
          <w:szCs w:val="22"/>
        </w:rPr>
        <w:t>Submit as PDF in Canvas.</w:t>
      </w:r>
    </w:p>
    <w:p>
      <w:pPr>
        <w:pStyle w:val="Heading2"/>
        <w:rPr/>
      </w:pPr>
      <w:r>
        <w:rPr>
          <w:rFonts w:eastAsia="ＭＳ ゴシック" w:cs="Calibri" w:eastAsiaTheme="majorEastAsia"/>
          <w:b/>
          <w:bCs/>
          <w:color w:themeColor="accent1" w:val="4F81BD"/>
          <w:sz w:val="24"/>
          <w:szCs w:val="24"/>
        </w:rPr>
        <w:t>4. Working Collaboratively</w:t>
      </w:r>
    </w:p>
    <w:p>
      <w:pPr>
        <w:pStyle w:val="Normal"/>
        <w:spacing w:lineRule="auto" w:line="276" w:before="0" w:after="200"/>
        <w:rPr/>
      </w:pPr>
      <w:r>
        <w:rPr>
          <w:rFonts w:eastAsia="ＭＳ 明朝" w:cs="Calibri" w:eastAsiaTheme="minorEastAsia"/>
          <w:sz w:val="22"/>
          <w:szCs w:val="22"/>
        </w:rPr>
        <w:t>Your concept, your question, and your collected work are the project. You may connect with your host teacher and compare notes with classmates. You may teach the same lesson as the classmate you're placed with, but each of you answers your own research question and submits your own work. The read of the mathematics is yours.</w:t>
      </w:r>
    </w:p>
    <w:p>
      <w:pPr>
        <w:pStyle w:val="Normal"/>
        <w:spacing w:lineRule="auto" w:line="276" w:before="0" w:after="200"/>
        <w:rPr/>
      </w:pPr>
      <w:r>
        <w:rPr>
          <w:rFonts w:eastAsia="ＭＳ 明朝" w:cs="Calibri" w:eastAsiaTheme="minorEastAsia"/>
          <w:sz w:val="22"/>
          <w:szCs w:val="22"/>
        </w:rPr>
        <w:t>AI tools may be used for formatting or clarity, but not to generate the content of your observations or your read of the student thinking. The noticing here has to be yours. It's the seed of your whole project.</w:t>
      </w:r>
    </w:p>
    <w:p>
      <w:pPr>
        <w:pStyle w:val="Heading2"/>
        <w:rPr/>
      </w:pPr>
      <w:r>
        <w:rPr>
          <w:rFonts w:eastAsia="ＭＳ ゴシック" w:cs="Calibri" w:eastAsiaTheme="majorEastAsia"/>
          <w:b/>
          <w:bCs/>
          <w:color w:themeColor="accent1" w:val="4F81BD"/>
          <w:sz w:val="24"/>
          <w:szCs w:val="24"/>
        </w:rPr>
        <w:t>5. How Is My Work Being Assessed?</w:t>
      </w:r>
    </w:p>
    <w:tbl>
      <w:tblPr>
        <w:tblStyle w:val="TableGrid"/>
        <w:tblW w:w="10800" w:type="dxa"/>
        <w:jc w:val="start"/>
        <w:tblInd w:w="0" w:type="dxa"/>
        <w:tblLayout w:type="fixed"/>
        <w:tblCellMar>
          <w:top w:w="0" w:type="dxa"/>
          <w:start w:w="108" w:type="dxa"/>
          <w:bottom w:w="0" w:type="dxa"/>
          <w:end w:w="108" w:type="dxa"/>
        </w:tblCellMar>
        <w:tblLook w:noVBand="1" w:firstColumn="1" w:firstRow="1" w:val="07e0"/>
      </w:tblPr>
      <w:tblGrid>
        <w:gridCol w:w="1874"/>
        <w:gridCol w:w="8926"/>
      </w:tblGrid>
      <w:tr>
        <w:trPr/>
        <w:tc>
          <w:tcPr>
            <w:tcW w:w="1874" w:type="dxa"/>
            <w:tcBorders/>
            <w:shd w:fill="BFBFBF" w:val="clear"/>
          </w:tcPr>
          <w:p>
            <w:pPr>
              <w:pStyle w:val="Normal"/>
              <w:widowControl/>
              <w:spacing w:lineRule="auto" w:line="276" w:before="0" w:after="200"/>
              <w:jc w:val="start"/>
              <w:rPr>
                <w:rFonts w:eastAsia="ＭＳ 明朝"/>
                <w:kern w:val="0"/>
                <w:sz w:val="22"/>
                <w:szCs w:val="22"/>
                <w:lang w:val="en-US" w:eastAsia="en-US" w:bidi="ar-SA"/>
              </w:rPr>
            </w:pPr>
            <w:r>
              <w:rPr>
                <w:rFonts w:eastAsia="ＭＳ 明朝" w:cs="Calibri" w:eastAsiaTheme="minorEastAsia"/>
                <w:b/>
                <w:bCs/>
                <w:kern w:val="0"/>
                <w:sz w:val="22"/>
                <w:szCs w:val="22"/>
                <w:lang w:val="en-US" w:eastAsia="en-US" w:bidi="ar-SA"/>
              </w:rPr>
              <w:t>Criteria</w:t>
            </w:r>
          </w:p>
        </w:tc>
        <w:tc>
          <w:tcPr>
            <w:tcW w:w="8926" w:type="dxa"/>
            <w:tcBorders/>
            <w:shd w:fill="BFBFBF" w:val="clear"/>
          </w:tcPr>
          <w:p>
            <w:pPr>
              <w:pStyle w:val="Normal"/>
              <w:widowControl/>
              <w:spacing w:lineRule="auto" w:line="276" w:before="0" w:after="200"/>
              <w:jc w:val="start"/>
              <w:rPr>
                <w:rFonts w:eastAsia="ＭＳ 明朝"/>
                <w:kern w:val="0"/>
                <w:sz w:val="22"/>
                <w:szCs w:val="22"/>
                <w:lang w:val="en-US" w:eastAsia="en-US" w:bidi="ar-SA"/>
              </w:rPr>
            </w:pPr>
            <w:r>
              <w:rPr>
                <w:rFonts w:eastAsia="ＭＳ 明朝" w:cs="Calibri" w:eastAsiaTheme="minorEastAsia"/>
                <w:b/>
                <w:bCs/>
                <w:kern w:val="0"/>
                <w:sz w:val="22"/>
                <w:szCs w:val="22"/>
                <w:lang w:val="en-US" w:eastAsia="en-US" w:bidi="ar-SA"/>
              </w:rPr>
              <w:t>Expectations</w:t>
            </w:r>
          </w:p>
        </w:tc>
      </w:tr>
      <w:tr>
        <w:trPr/>
        <w:tc>
          <w:tcPr>
            <w:tcW w:w="1874" w:type="dxa"/>
            <w:tcBorders/>
          </w:tcPr>
          <w:p>
            <w:pPr>
              <w:pStyle w:val="Normal"/>
              <w:widowControl/>
              <w:spacing w:lineRule="auto" w:line="276" w:before="0" w:after="200"/>
              <w:jc w:val="start"/>
              <w:rPr>
                <w:rFonts w:eastAsia="ＭＳ 明朝"/>
                <w:kern w:val="0"/>
                <w:sz w:val="22"/>
                <w:szCs w:val="22"/>
                <w:lang w:val="en-US" w:eastAsia="en-US" w:bidi="ar-SA"/>
              </w:rPr>
            </w:pPr>
            <w:r>
              <w:rPr>
                <w:rFonts w:eastAsia="ＭＳ 明朝" w:cs="Calibri" w:eastAsiaTheme="minorEastAsia"/>
                <w:b/>
                <w:bCs/>
                <w:kern w:val="0"/>
                <w:sz w:val="22"/>
                <w:szCs w:val="22"/>
                <w:lang w:val="en-US" w:eastAsia="en-US" w:bidi="ar-SA"/>
              </w:rPr>
              <w:t>Context (4)</w:t>
            </w:r>
          </w:p>
        </w:tc>
        <w:tc>
          <w:tcPr>
            <w:tcW w:w="8926" w:type="dxa"/>
            <w:tcBorders/>
          </w:tcPr>
          <w:p>
            <w:pPr>
              <w:pStyle w:val="Normal"/>
              <w:widowControl/>
              <w:spacing w:lineRule="auto" w:line="276" w:before="0" w:after="200"/>
              <w:jc w:val="start"/>
              <w:rPr>
                <w:rFonts w:eastAsia="ＭＳ 明朝"/>
                <w:kern w:val="0"/>
                <w:sz w:val="22"/>
                <w:szCs w:val="22"/>
                <w:lang w:val="en-US" w:eastAsia="en-US" w:bidi="ar-SA"/>
              </w:rPr>
            </w:pPr>
            <w:r>
              <w:rPr>
                <w:rFonts w:eastAsia="ＭＳ 明朝" w:cs="Calibri" w:eastAsiaTheme="minorEastAsia"/>
                <w:kern w:val="0"/>
                <w:sz w:val="22"/>
                <w:szCs w:val="22"/>
                <w:lang w:val="en-US" w:eastAsia="en-US" w:bidi="ar-SA"/>
              </w:rPr>
              <w:t>Classroom: Accurate, specific account of the teacher's style, one “non-negotiable,” and the scope &amp; sequence for the mathematics your class will be working on during your Weeks 11–12 immersion.</w:t>
            </w:r>
          </w:p>
          <w:p>
            <w:pPr>
              <w:pStyle w:val="Normal"/>
              <w:widowControl/>
              <w:spacing w:lineRule="auto" w:line="276" w:before="0" w:after="200"/>
              <w:jc w:val="start"/>
              <w:rPr>
                <w:rFonts w:eastAsia="ＭＳ 明朝"/>
                <w:kern w:val="0"/>
                <w:sz w:val="22"/>
                <w:szCs w:val="22"/>
                <w:lang w:val="en-US" w:eastAsia="en-US" w:bidi="ar-SA"/>
              </w:rPr>
            </w:pPr>
            <w:r>
              <w:rPr>
                <w:rFonts w:eastAsia="ＭＳ 明朝" w:cs="Calibri" w:eastAsiaTheme="minorEastAsia"/>
                <w:kern w:val="0"/>
                <w:sz w:val="22"/>
                <w:szCs w:val="22"/>
                <w:lang w:val="en-US" w:eastAsia="en-US" w:bidi="ar-SA"/>
              </w:rPr>
              <w:t>Students: Two or three focus students, chosen with the host teacher and given pseudonyms, with enough context that a reader could follow them into the immersion.</w:t>
            </w:r>
          </w:p>
        </w:tc>
      </w:tr>
      <w:tr>
        <w:trPr/>
        <w:tc>
          <w:tcPr>
            <w:tcW w:w="1874" w:type="dxa"/>
            <w:tcBorders/>
          </w:tcPr>
          <w:p>
            <w:pPr>
              <w:pStyle w:val="Normal"/>
              <w:widowControl/>
              <w:spacing w:lineRule="auto" w:line="276" w:before="0" w:after="200"/>
              <w:jc w:val="start"/>
              <w:rPr>
                <w:rFonts w:eastAsia="ＭＳ 明朝"/>
                <w:kern w:val="0"/>
                <w:sz w:val="22"/>
                <w:szCs w:val="22"/>
                <w:lang w:val="en-US" w:eastAsia="en-US" w:bidi="ar-SA"/>
              </w:rPr>
            </w:pPr>
            <w:r>
              <w:rPr>
                <w:rFonts w:eastAsia="ＭＳ 明朝" w:cs="Calibri" w:eastAsiaTheme="minorEastAsia"/>
                <w:b/>
                <w:bCs/>
                <w:kern w:val="0"/>
                <w:sz w:val="22"/>
                <w:szCs w:val="22"/>
                <w:lang w:val="en-US" w:eastAsia="en-US" w:bidi="ar-SA"/>
              </w:rPr>
              <w:t>The concept &amp; question (4)</w:t>
            </w:r>
          </w:p>
        </w:tc>
        <w:tc>
          <w:tcPr>
            <w:tcW w:w="8926" w:type="dxa"/>
            <w:tcBorders/>
          </w:tcPr>
          <w:p>
            <w:pPr>
              <w:pStyle w:val="Normal"/>
              <w:widowControl/>
              <w:spacing w:lineRule="auto" w:line="276" w:before="0" w:after="200"/>
              <w:jc w:val="start"/>
              <w:rPr>
                <w:rFonts w:eastAsia="ＭＳ 明朝"/>
                <w:kern w:val="0"/>
                <w:sz w:val="22"/>
                <w:szCs w:val="22"/>
                <w:lang w:val="en-US" w:eastAsia="en-US" w:bidi="ar-SA"/>
              </w:rPr>
            </w:pPr>
            <w:r>
              <w:rPr>
                <w:rFonts w:eastAsia="ＭＳ 明朝" w:cs="Calibri" w:eastAsiaTheme="minorEastAsia"/>
                <w:kern w:val="0"/>
                <w:sz w:val="22"/>
                <w:szCs w:val="22"/>
                <w:lang w:val="en-US" w:eastAsia="en-US" w:bidi="ar-SA"/>
              </w:rPr>
              <w:t>The concept: One specific, grade-appropriate mathematical concept — a genuine idea students build understanding of, not a whole strand or a bare skill.</w:t>
            </w:r>
          </w:p>
          <w:p>
            <w:pPr>
              <w:pStyle w:val="Normal"/>
              <w:widowControl/>
              <w:spacing w:lineRule="auto" w:line="276" w:before="0" w:after="200"/>
              <w:jc w:val="start"/>
              <w:rPr>
                <w:rFonts w:eastAsia="ＭＳ 明朝"/>
                <w:kern w:val="0"/>
                <w:sz w:val="22"/>
                <w:szCs w:val="22"/>
                <w:lang w:val="en-US" w:eastAsia="en-US" w:bidi="ar-SA"/>
              </w:rPr>
            </w:pPr>
            <w:r>
              <w:rPr>
                <w:rFonts w:eastAsia="ＭＳ 明朝" w:cs="Calibri" w:eastAsiaTheme="minorEastAsia"/>
                <w:kern w:val="0"/>
                <w:sz w:val="22"/>
                <w:szCs w:val="22"/>
                <w:lang w:val="en-US" w:eastAsia="en-US" w:bidi="ar-SA"/>
              </w:rPr>
              <w:t>Your question: A first read, in one sentence — an open question about how students understand this concept, not whether they got it right, and not a diagnosis of a child. For instance:</w:t>
            </w:r>
          </w:p>
          <w:p>
            <w:pPr>
              <w:pStyle w:val="Normal"/>
              <w:widowControl/>
              <w:spacing w:lineRule="auto" w:line="276" w:before="0" w:after="200"/>
              <w:jc w:val="start"/>
              <w:rPr>
                <w:rFonts w:eastAsia="ＭＳ 明朝"/>
                <w:kern w:val="0"/>
                <w:sz w:val="22"/>
                <w:szCs w:val="22"/>
                <w:lang w:val="en-US" w:eastAsia="en-US" w:bidi="ar-SA"/>
              </w:rPr>
            </w:pPr>
            <w:r>
              <w:rPr>
                <w:rFonts w:eastAsia="ＭＳ 明朝" w:cs="Calibri" w:eastAsiaTheme="minorEastAsia"/>
                <w:kern w:val="0"/>
                <w:sz w:val="22"/>
                <w:szCs w:val="22"/>
                <w:lang w:val="en-US" w:eastAsia="en-US" w:bidi="ar-SA"/>
              </w:rPr>
              <w:t>How do students reason about equal shares of a set?</w:t>
            </w:r>
          </w:p>
          <w:p>
            <w:pPr>
              <w:pStyle w:val="Normal"/>
              <w:widowControl/>
              <w:spacing w:lineRule="auto" w:line="276" w:before="0" w:after="200"/>
              <w:jc w:val="start"/>
              <w:rPr>
                <w:rFonts w:eastAsia="ＭＳ 明朝"/>
                <w:kern w:val="0"/>
                <w:sz w:val="22"/>
                <w:szCs w:val="22"/>
                <w:lang w:val="en-US" w:eastAsia="en-US" w:bidi="ar-SA"/>
              </w:rPr>
            </w:pPr>
            <w:r>
              <w:rPr>
                <w:rFonts w:eastAsia="ＭＳ 明朝" w:cs="Calibri" w:eastAsiaTheme="minorEastAsia"/>
                <w:kern w:val="0"/>
                <w:sz w:val="22"/>
                <w:szCs w:val="22"/>
                <w:lang w:val="en-US" w:eastAsia="en-US" w:bidi="ar-SA"/>
              </w:rPr>
              <w:t>What do students attend to when they decide two different solution methods are equivalent?</w:t>
            </w:r>
          </w:p>
        </w:tc>
      </w:tr>
      <w:tr>
        <w:trPr/>
        <w:tc>
          <w:tcPr>
            <w:tcW w:w="1874" w:type="dxa"/>
            <w:tcBorders/>
          </w:tcPr>
          <w:p>
            <w:pPr>
              <w:pStyle w:val="Normal"/>
              <w:widowControl/>
              <w:spacing w:lineRule="auto" w:line="276" w:before="0" w:after="200"/>
              <w:jc w:val="start"/>
              <w:rPr>
                <w:rFonts w:eastAsia="ＭＳ 明朝"/>
                <w:kern w:val="0"/>
                <w:sz w:val="22"/>
                <w:szCs w:val="22"/>
                <w:lang w:val="en-US" w:eastAsia="en-US" w:bidi="ar-SA"/>
              </w:rPr>
            </w:pPr>
            <w:r>
              <w:rPr>
                <w:rFonts w:eastAsia="ＭＳ 明朝" w:cs="Calibri" w:eastAsiaTheme="minorEastAsia"/>
                <w:b/>
                <w:bCs/>
                <w:kern w:val="0"/>
                <w:sz w:val="22"/>
                <w:szCs w:val="22"/>
                <w:lang w:val="en-US" w:eastAsia="en-US" w:bidi="ar-SA"/>
              </w:rPr>
              <w:t>Collected work (4)</w:t>
            </w:r>
          </w:p>
        </w:tc>
        <w:tc>
          <w:tcPr>
            <w:tcW w:w="8926" w:type="dxa"/>
            <w:tcBorders/>
          </w:tcPr>
          <w:p>
            <w:pPr>
              <w:pStyle w:val="Normal"/>
              <w:widowControl/>
              <w:spacing w:lineRule="auto" w:line="276" w:before="0" w:after="200"/>
              <w:jc w:val="start"/>
              <w:rPr>
                <w:rFonts w:eastAsia="ＭＳ 明朝"/>
                <w:kern w:val="0"/>
                <w:sz w:val="22"/>
                <w:szCs w:val="22"/>
                <w:lang w:val="en-US" w:eastAsia="en-US" w:bidi="ar-SA"/>
              </w:rPr>
            </w:pPr>
            <w:r>
              <w:rPr>
                <w:rFonts w:eastAsia="ＭＳ 明朝" w:cs="Calibri" w:eastAsiaTheme="minorEastAsia"/>
                <w:kern w:val="0"/>
                <w:sz w:val="22"/>
                <w:szCs w:val="22"/>
                <w:lang w:val="en-US" w:eastAsia="en-US" w:bidi="ar-SA"/>
              </w:rPr>
              <w:t>Three to five pieces of actual student math work on this concept, across your two or three focus students, de-identified, and described so a reader can see what they reveal about how students currently understand it — real evidence, not “I got some work.”</w:t>
            </w:r>
          </w:p>
        </w:tc>
      </w:tr>
      <w:tr>
        <w:trPr/>
        <w:tc>
          <w:tcPr>
            <w:tcW w:w="1874" w:type="dxa"/>
            <w:tcBorders/>
          </w:tcPr>
          <w:p>
            <w:pPr>
              <w:pStyle w:val="Normal"/>
              <w:widowControl/>
              <w:spacing w:lineRule="auto" w:line="276" w:before="0" w:after="200"/>
              <w:jc w:val="start"/>
              <w:rPr>
                <w:rFonts w:eastAsia="ＭＳ 明朝"/>
                <w:kern w:val="0"/>
                <w:sz w:val="22"/>
                <w:szCs w:val="22"/>
                <w:lang w:val="en-US" w:eastAsia="en-US" w:bidi="ar-SA"/>
              </w:rPr>
            </w:pPr>
            <w:r>
              <w:rPr>
                <w:rFonts w:eastAsia="ＭＳ 明朝" w:cs="Calibri" w:eastAsiaTheme="minorEastAsia"/>
                <w:b/>
                <w:bCs/>
                <w:kern w:val="0"/>
                <w:sz w:val="22"/>
                <w:szCs w:val="22"/>
                <w:lang w:val="en-US" w:eastAsia="en-US" w:bidi="ar-SA"/>
              </w:rPr>
              <w:t>Standards (4)</w:t>
            </w:r>
          </w:p>
        </w:tc>
        <w:tc>
          <w:tcPr>
            <w:tcW w:w="8926" w:type="dxa"/>
            <w:tcBorders/>
          </w:tcPr>
          <w:p>
            <w:pPr>
              <w:pStyle w:val="Normal"/>
              <w:widowControl/>
              <w:spacing w:lineRule="auto" w:line="276" w:before="0" w:after="200"/>
              <w:jc w:val="start"/>
              <w:rPr>
                <w:rFonts w:eastAsia="ＭＳ 明朝"/>
                <w:kern w:val="0"/>
                <w:sz w:val="22"/>
                <w:szCs w:val="22"/>
                <w:lang w:val="en-US" w:eastAsia="en-US" w:bidi="ar-SA"/>
              </w:rPr>
            </w:pPr>
            <w:r>
              <w:rPr>
                <w:rFonts w:eastAsia="ＭＳ 明朝" w:cs="Calibri" w:eastAsiaTheme="minorEastAsia"/>
                <w:kern w:val="0"/>
                <w:sz w:val="22"/>
                <w:szCs w:val="22"/>
                <w:lang w:val="en-US" w:eastAsia="en-US" w:bidi="ar-SA"/>
              </w:rPr>
              <w:t>At least one accurate, grade-appropriate Ohio content standard and one Standard for Mathematical Practice, chosen in the Planner (2a), that fit your concept.</w:t>
            </w:r>
          </w:p>
        </w:tc>
      </w:tr>
      <w:tr>
        <w:trPr/>
        <w:tc>
          <w:tcPr>
            <w:tcW w:w="1874" w:type="dxa"/>
            <w:tcBorders/>
          </w:tcPr>
          <w:p>
            <w:pPr>
              <w:pStyle w:val="Normal"/>
              <w:widowControl/>
              <w:spacing w:lineRule="auto" w:line="276" w:before="0" w:after="200"/>
              <w:jc w:val="start"/>
              <w:rPr>
                <w:rFonts w:eastAsia="ＭＳ 明朝"/>
                <w:kern w:val="0"/>
                <w:sz w:val="22"/>
                <w:szCs w:val="22"/>
                <w:lang w:val="en-US" w:eastAsia="en-US" w:bidi="ar-SA"/>
              </w:rPr>
            </w:pPr>
            <w:r>
              <w:rPr>
                <w:rFonts w:eastAsia="ＭＳ 明朝" w:cs="Calibri" w:eastAsiaTheme="minorEastAsia"/>
                <w:b/>
                <w:bCs/>
                <w:kern w:val="0"/>
                <w:sz w:val="22"/>
                <w:szCs w:val="22"/>
                <w:lang w:val="en-US" w:eastAsia="en-US" w:bidi="ar-SA"/>
              </w:rPr>
              <w:t>What the research says (4)</w:t>
            </w:r>
          </w:p>
        </w:tc>
        <w:tc>
          <w:tcPr>
            <w:tcW w:w="8926" w:type="dxa"/>
            <w:tcBorders/>
          </w:tcPr>
          <w:p>
            <w:pPr>
              <w:pStyle w:val="Normal"/>
              <w:widowControl/>
              <w:spacing w:lineRule="auto" w:line="276" w:before="0" w:after="200"/>
              <w:jc w:val="start"/>
              <w:rPr>
                <w:rFonts w:eastAsia="ＭＳ 明朝"/>
                <w:kern w:val="0"/>
                <w:sz w:val="22"/>
                <w:szCs w:val="22"/>
                <w:lang w:val="en-US" w:eastAsia="en-US" w:bidi="ar-SA"/>
              </w:rPr>
            </w:pPr>
            <w:r>
              <w:rPr>
                <w:rFonts w:eastAsia="ＭＳ 明朝" w:cs="Calibri" w:eastAsiaTheme="minorEastAsia"/>
                <w:kern w:val="0"/>
                <w:sz w:val="22"/>
                <w:szCs w:val="22"/>
                <w:lang w:val="en-US" w:eastAsia="en-US" w:bidi="ar-SA"/>
              </w:rPr>
              <w:t>One to three sources on how students understand this concept — at least one from the research literature, with its permanent link or DOI; your host teacher may be one of them. Each described in a few sentences in your own words, not quoted. Then your own read: which of the challenges or misconceptions these sources describe actually show up in the work you collected — which student, which sample — and what you saw that they did not predict.</w:t>
            </w:r>
          </w:p>
        </w:tc>
      </w:tr>
    </w:tbl>
    <w:p>
      <w:pPr>
        <w:pStyle w:val="Normal"/>
        <w:widowControl/>
        <w:bidi w:val="0"/>
        <w:spacing w:lineRule="auto" w:line="276" w:before="0" w:after="200"/>
        <w:jc w:val="start"/>
        <w:rPr/>
      </w:pPr>
      <w:r>
        <w:rPr/>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cs="Calibri" w:eastAsia="ＭＳ 明朝"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rFonts w:ascii="Calibri" w:hAnsi="Calibri" w:cs="Calibri"/>
    </w:rPr>
  </w:style>
  <w:style w:type="paragraph" w:styleId="ListBullet2">
    <w:name w:val="List Bullet 2"/>
    <w:basedOn w:val="Normal"/>
    <w:uiPriority w:val="99"/>
    <w:unhideWhenUsed/>
    <w:rsid w:val="00326f90"/>
    <w:pPr>
      <w:numPr>
        <w:ilvl w:val="0"/>
        <w:numId w:val="2"/>
      </w:numPr>
      <w:spacing w:before="0" w:after="200"/>
      <w:contextualSpacing/>
    </w:pPr>
    <w:rPr>
      <w:rFonts w:ascii="Calibri" w:hAnsi="Calibri" w:cs="Calibri"/>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rFonts w:ascii="Calibri" w:hAnsi="Calibri" w:cs="Calibri"/>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LibreOffice/26.2.3.2$Linux_X86_64 LibreOffice_project/620$Build-2</Application>
  <AppVersion>15.0000</AppVersion>
  <Pages>2</Pages>
  <Words>982</Words>
  <Characters>4889</Characters>
  <CharactersWithSpaces>5834</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2026-09-20T19:29:03Z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