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Question — Building Your Inquiry (Week 7)</w:t>
      </w:r>
    </w:p>
    <w:p>
      <w:r>
        <w:rPr>
          <w:b/>
        </w:rPr>
        <w:t>TCE 318P FA26 (Edwards)</w:t>
      </w:r>
    </w:p>
    <w:p>
      <w:r>
        <w:rPr>
          <w:b/>
        </w:rPr>
        <w:t>25 points possible</w:t>
      </w:r>
    </w:p>
    <w:p>
      <w:pPr>
        <w:pStyle w:val="Heading2"/>
      </w:pPr>
      <w:r>
        <w:t>1. What's This All About?</w:t>
      </w:r>
    </w:p>
    <w:p>
      <w:r>
        <w:t>We're interested in how students understand mathematics — and this week you turn that interest into a research question about how students understand the concept you chose. In Week 6 you named that concept, identified two or three students whose work reveals how they understand it, and collected some of that work. Act II begins here: you build the question the whole back half of the course runs on.</w:t>
      </w:r>
    </w:p>
    <w:p>
      <w:r>
        <w:t>You won't write it from your desk. In class you'll learn the Question Formulation Technique (QFT) — a protocol for producing and improving questions — and run it, inside the Research Question Studio, on the very work you collected. Then you'll sharpen your questions with the genAI planning partner built into the BDA Planner: it widens and pressure-tests your questions, but it does not hand you one. The question you land drives everything next — the nested lesson you build in Weeks 8–10 (a routine, a rich task, and a discussion) and enact in the field.</w:t>
      </w:r>
    </w:p>
    <w:p>
      <w:pPr>
        <w:pStyle w:val="Heading2"/>
      </w:pPr>
      <w:r>
        <w:t>2. What Do I Need to Do?</w:t>
      </w:r>
    </w:p>
    <w:p>
      <w:r>
        <w:t>Bring your Week 6 Concept Profile and collected work. Build your question in two moves, and submit two documents.</w:t>
      </w:r>
    </w:p>
    <w:p>
      <w:pPr>
        <w:pStyle w:val="ListNumber"/>
      </w:pPr>
      <w:r>
        <w:t>Run the QFT in the Studio. In the Research Question Studio, press “Bring in my Concept Profile” on the first tab — your grade, your concept and one slot for each piece of work you collected come across from the BDA Planner. Then describe the work you collected: for each sample, what the task asked for, what the work shows, and what it makes you wonder about students’ understanding. You do not upload the work again — it is already attached to your Concept Profile, and it was graded there. What is graded here is how closely you read it. Then, using the four rules, storm as many questions about how students understand that concept as you can — the Studio asks for five before it will let you go on, because the ones worth having usually arrive after the obvious ones. Only then does it ask you to mark each one open or closed: while you are storming there is nothing on the screen to judge with, which is rule 2. Then produce the handoff PDF. (This PDF is Document 1.)</w:t>
      </w:r>
    </w:p>
    <w:p>
      <w:pPr>
        <w:pStyle w:val="ListNumber"/>
      </w:pPr>
      <w:r>
        <w:t>Sharpen with the genAI planning partner. On the Studio’s Hand off tab, press “Open the BDA Planner with this work.” It opens the Planner at the question you wrote for your Concept Profile — Concept Profile → Concept &amp; question → the 2c · Question tab — and your question storm comes across with it, listed under the box with your Week 6 question at the top. Revisit it: revise it, or click any question on that list to make it the one you are carrying. Nothing is lost either way — the list keeps them all, including the question you started with, so you can put it back. Then press Check this. It will widen your questions and pressure-test them — is this open? investigable? about how students reason about the concept, not just whether they got the answer right? Keep authorship: if it tries to write your question, push back.</w:t>
      </w:r>
    </w:p>
    <w:p>
      <w:pPr>
        <w:pStyle w:val="ListNumber"/>
      </w:pPr>
      <w:r>
        <w:t>Land one question. Choose the single research question you'll carry into the field, and say why. Test it: is it open, about how students understand the concept, and answerable by the evidence one nested lesson (routine + rich task) could realistically produce?</w:t>
      </w:r>
    </w:p>
    <w:p>
      <w:pPr>
        <w:pStyle w:val="ListNumber"/>
      </w:pPr>
      <w:r>
        <w:t>Write Document 2 — your sharpening record. One page, written by you in Word or Google Docs and saved as a PDF. Two things, in either order: your question and why you chose that one; and two or three moments where the genAI planning partner pushed it forward, each in your own words.</w:t>
      </w:r>
    </w:p>
    <w:p>
      <w:pPr>
        <w:pStyle w:val="Heading2"/>
      </w:pPr>
      <w:r>
        <w:t>3. Length &amp; Format</w:t>
      </w:r>
    </w:p>
    <w:p>
      <w:pPr>
        <w:pStyle w:val="ListBullet"/>
      </w:pPr>
      <w:r>
        <w:t>Document 1 — the Studio handoff PDF. In the Research Question Studio, confirm the snapshot on step 4 (Check names), then on step 5 (Hand off) press Produce PDF and choose Save as PDF. It holds your concept, your reading of the work you collected, and your question storm. The work itself stays attached to your Concept Profile; you do not upload it again.</w:t>
      </w:r>
    </w:p>
    <w:p>
      <w:pPr>
        <w:pStyle w:val="ListBullet"/>
      </w:pPr>
      <w:r>
        <w:t>Document 2 — your sharpening record: one page, written by you, saved as a PDF. Your question and why, and the two or three moments that moved it.</w:t>
      </w:r>
    </w:p>
    <w:p>
      <w:pPr>
        <w:pStyle w:val="ListBullet"/>
      </w:pPr>
      <w:r>
        <w:t>Pseudonyms only — no student names or identifying details anywhere (FERPA). Everything the genAI planning partner reads is already de-identified: nothing you type into the Studio names a child, and the BDA Planner holds pseudonyms only.</w:t>
      </w:r>
    </w:p>
    <w:p>
      <w:pPr>
        <w:pStyle w:val="ListBullet"/>
      </w:pPr>
      <w:r>
        <w:t>Submit both PDFs in Canvas by Monday, October 12, 11:59 pm.</w:t>
      </w:r>
    </w:p>
    <w:p>
      <w:pPr>
        <w:pStyle w:val="Heading2"/>
      </w:pPr>
      <w:r>
        <w:t>4. Working Collaboratively</w:t>
      </w:r>
    </w:p>
    <w:p>
      <w:r>
        <w:t>One question per project: your own concept, your own inquiry. You may teach the same lesson as the classmate you're placed with, but each of you answers your own research question and submits your own work. You'll run the QFT alongside classmates, and a classmate can ask questions about your collected work that you're too close to see, but the question you choose and defend is yours.</w:t>
      </w:r>
    </w:p>
    <w:p>
      <w:r>
        <w:t>The genAI planning partner's role is bounded: it widens and sharpens your questions. Producing the questions, and deciding which one is worth a semester, is your work — and that judgment is what's assessed.</w:t>
      </w:r>
    </w:p>
    <w:p>
      <w:pPr>
        <w:pStyle w:val="Heading2"/>
      </w:pPr>
      <w:r>
        <w:t>5. How Is My Work Being Assessed?</w:t>
      </w:r>
    </w:p>
    <w:tbl>
      <w:tblPr>
        <w:tblStyle w:val="TableGrid"/>
        <w:tblW w:type="auto" w:w="0"/>
        <w:tblLook w:firstColumn="1" w:firstRow="1" w:lastColumn="0" w:lastRow="0" w:noHBand="0" w:noVBand="1" w:val="04A0"/>
      </w:tblPr>
      <w:tblGrid>
        <w:gridCol w:w="5400"/>
        <w:gridCol w:w="5400"/>
      </w:tblGrid>
      <w:tr>
        <w:tc>
          <w:tcPr>
            <w:tcW w:type="dxa" w:w="5400"/>
          </w:tcPr>
          <w:p>
            <w:r>
              <w:rPr>
                <w:b/>
              </w:rPr>
              <w:t>Criteria</w:t>
            </w:r>
          </w:p>
        </w:tc>
        <w:tc>
          <w:tcPr>
            <w:tcW w:type="dxa" w:w="5400"/>
          </w:tcPr>
          <w:p>
            <w:r>
              <w:rPr>
                <w:b/>
              </w:rPr>
              <w:t>Expectations</w:t>
            </w:r>
          </w:p>
        </w:tc>
      </w:tr>
      <w:tr>
        <w:tc>
          <w:tcPr>
            <w:tcW w:type="dxa" w:w="5400"/>
          </w:tcPr>
          <w:p>
            <w:r>
              <w:rPr>
                <w:b/>
              </w:rPr>
              <w:t>The concept and your approach (5)</w:t>
            </w:r>
          </w:p>
        </w:tc>
        <w:tc>
          <w:tcPr>
            <w:tcW w:type="dxa" w:w="5400"/>
          </w:tcPr>
          <w:p>
            <w:r>
              <w:t>In your handoff PDF: the concept you’re investigating, the grade, the mathematics ahead, and how you’re thinking of engaging students in it — specific and evidence-based, not generic.</w:t>
            </w:r>
          </w:p>
        </w:tc>
      </w:tr>
      <w:tr>
        <w:tc>
          <w:tcPr>
            <w:tcW w:type="dxa" w:w="5400"/>
          </w:tcPr>
          <w:p>
            <w:r>
              <w:rPr>
                <w:b/>
              </w:rPr>
              <w:t>Reading the work (5)</w:t>
            </w:r>
          </w:p>
        </w:tc>
        <w:tc>
          <w:tcPr>
            <w:tcW w:type="dxa" w:w="5400"/>
          </w:tcPr>
          <w:p>
            <w:r>
              <w:t>For each of three to five samples from your Concept Profile: what the task asked for and what the work shows (2), and what it makes you wonder about students’ understanding (3). Description, not diagnosis — the wondering is where most of these points live.</w:t>
            </w:r>
          </w:p>
        </w:tc>
      </w:tr>
      <w:tr>
        <w:tc>
          <w:tcPr>
            <w:tcW w:type="dxa" w:w="5400"/>
          </w:tcPr>
          <w:p>
            <w:r>
              <w:rPr>
                <w:b/>
              </w:rPr>
              <w:t>The question storm (5)</w:t>
            </w:r>
          </w:p>
        </w:tc>
        <w:tc>
          <w:tcPr>
            <w:tcW w:type="dxa" w:w="5400"/>
          </w:tcPr>
          <w:p>
            <w:r>
              <w:t>At least five questions, each marked open or closed, and aimed at how students understand the concept rather than at one child. Five is the floor, not the target — the rules exist to push you past the obvious ones.</w:t>
            </w:r>
          </w:p>
        </w:tc>
      </w:tr>
      <w:tr>
        <w:tc>
          <w:tcPr>
            <w:tcW w:type="dxa" w:w="5400"/>
          </w:tcPr>
          <w:p>
            <w:r>
              <w:rPr>
                <w:b/>
              </w:rPr>
              <w:t>Interaction with the genAI planning partner (5)</w:t>
            </w:r>
          </w:p>
        </w:tc>
        <w:tc>
          <w:tcPr>
            <w:tcW w:type="dxa" w:w="5400"/>
          </w:tcPr>
          <w:p>
            <w:r>
              <w:t>In your sharpening record: two or three moments from the exchange that genuinely moved your question forward, each described in your own words with what it contributed — a real dialogue, not a one-shot.</w:t>
            </w:r>
          </w:p>
        </w:tc>
      </w:tr>
      <w:tr>
        <w:tc>
          <w:tcPr>
            <w:tcW w:type="dxa" w:w="5400"/>
          </w:tcPr>
          <w:p>
            <w:r>
              <w:rPr>
                <w:b/>
              </w:rPr>
              <w:t>The research question (5)</w:t>
            </w:r>
          </w:p>
        </w:tc>
        <w:tc>
          <w:tcPr>
            <w:tcW w:type="dxa" w:w="5400"/>
          </w:tcPr>
          <w:p>
            <w:r>
              <w:t>One question that is open, about how students understand the concept, grounded in the collected work, and answerable by the evidence one nested lesson could produce — plus a line on why this one.</w:t>
            </w:r>
          </w:p>
        </w:tc>
      </w:tr>
      <w:tr>
        <w:tc>
          <w:tcPr>
            <w:tcW w:type="dxa" w:w="5400"/>
          </w:tcPr>
          <w:p>
            <w:r>
              <w:rPr>
                <w:b/>
              </w:rPr>
              <w:t>Total (25)</w:t>
            </w:r>
          </w:p>
        </w:tc>
        <w:tc>
          <w:tcPr>
            <w:tcW w:type="dxa" w:w="5400"/>
          </w:tcPr>
          <w:p>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rPr>
  </w:style>
  <w:style w:type="paragraph" w:styleId="ListBullet2">
    <w:name w:val="List Bullet 2"/>
    <w:basedOn w:val="Normal"/>
    <w:uiPriority w:val="99"/>
    <w:unhideWhenUsed/>
    <w:rsid w:val="00326F90"/>
    <w:pPr>
      <w:numPr>
        <w:numId w:val="2"/>
      </w:numPr>
      <w:contextualSpacing/>
    </w:pPr>
    <w:rPr>
      <w:rFonts w:ascii="Calibri" w:hAnsi="Calibri" w:cs="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