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6DAC7F3">
      <w:pPr>
        <w:pStyle w:val="ListParagraph"/>
      </w:pPr>
      <w:r>
        <w:rPr>
          <w:rFonts w:ascii="Calibri" w:hAnsi="Calibri" w:cs="Calibri"/>
          <w:b/>
          <w:bCs/>
          <w:sz w:val="24"/>
          <w:szCs w:val="24"/>
        </w:rPr>
        <w:t>Concept Profile — Field Dip (Week 6)</w:t>
      </w:r>
    </w:p>
    <w:p w14:paraId="602A237D">
      <w:pPr>
        <w:pStyle w:val="ListParagraph"/>
        <w:contextualSpacing/>
        <w:spacing w:after="200" w:line="276" w:lineRule="auto"/>
      </w:pPr>
      <w:r>
        <w:rPr>
          <w:rFonts w:ascii="Calibri" w:hAnsi="Calibri" w:cs="Calibri"/>
          <w:b/>
          <w:bCs/>
          <w:sz w:val="24"/>
          <w:szCs w:val="24"/>
        </w:rPr>
        <w:t>TCE 318P FA26 (Edwards)</w:t>
      </w:r>
    </w:p>
    <w:p w14:paraId="4CEA7CBB">
      <w:pPr>
        <w:pStyle w:val="ListParagraph"/>
        <w:contextualSpacing/>
        <w:spacing w:after="200" w:line="276" w:lineRule="auto"/>
      </w:pPr>
      <w:r>
        <w:rPr>
          <w:rFonts w:ascii="Calibri" w:hAnsi="Calibri" w:cs="Calibri"/>
          <w:b/>
          <w:bCs/>
          <w:sz w:val="24"/>
          <w:szCs w:val="24"/>
        </w:rPr>
        <w:t>20 points possible</w:t>
      </w:r>
    </w:p>
    <w:p w14:paraId="09EEDEA0">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1. What's This All About?</w:t>
      </w:r>
    </w:p>
    <w:p w14:paraId="18546C50">
      <w:pPr>
        <w:spacing w:after="200" w:line="276" w:lineRule="auto"/>
      </w:pPr>
      <w:r>
        <w:rPr>
          <w:rFonts w:ascii="Calibri" w:hAnsi="Calibri" w:eastAsia="ＭＳ 明朝" w:cs="Calibri"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one or more students whose thinking will help you investigate it, and you collect some of their actual mathematics work on that concept.</w:t>
      </w:r>
    </w:p>
    <w:p w14:paraId="57E1E68C">
      <w:pPr>
        <w:spacing w:after="200" w:line="276" w:lineRule="auto"/>
      </w:pPr>
      <w:r>
        <w:rPr>
          <w:rFonts w:ascii="Calibri" w:hAnsi="Calibri" w:eastAsia="ＭＳ 明朝" w:cs="Calibri" w:eastAsiaTheme="minorEastAsia"/>
          <w:sz w:val="22"/>
          <w:szCs w:val="22"/>
        </w:rPr>
        <w:t xml:space="preserve">That concept, those students, and that collected work are the </w:t>
      </w:r>
      <w:r>
        <w:rPr>
          <w:rFonts w:ascii="Calibri" w:hAnsi="Calibri" w:eastAsia="ＭＳ 明朝" w:cs="Calibri" w:eastAsiaTheme="minorEastAsia"/>
          <w:b/>
          <w:bCs/>
          <w:sz w:val="22"/>
          <w:szCs w:val="22"/>
        </w:rPr>
        <w:t>seed of your inquiry project.</w:t>
      </w:r>
      <w:r>
        <w:rPr>
          <w:rFonts w:ascii="Calibri" w:hAnsi="Calibri" w:eastAsia="ＭＳ 明朝" w:cs="Calibri" w:eastAsiaTheme="minorEastAsia"/>
          <w:sz w:val="22"/>
          <w:szCs w:val="22"/>
        </w:rPr>
        <w:t xml:space="preserve"> The question you formalize next week (Week 7) grows directly out of what you notice here — how do students understand this concept? The task, routine, applet, or lesson you design in Weeks 8–10 is a probe of that concept; you carry it back to the same classroom in the Weeks 11–12 immersion. Concept → question → design → collect → analyze → share. It starts with choosing a mathematical idea worth looking at closely.</w:t>
      </w:r>
    </w:p>
    <w:p w14:paraId="3D283CE4">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2. What Do I Need to Do?</w:t>
      </w:r>
    </w:p>
    <w:p w14:paraId="4B7E2542">
      <w:pPr>
        <w:spacing w:after="200" w:line="276" w:lineRule="auto"/>
      </w:pPr>
      <w:r>
        <w:rPr>
          <w:rFonts w:ascii="Calibri" w:hAnsi="Calibri"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14:paraId="4533DA66">
      <w:pPr>
        <w:pStyle w:val="ListNumber"/>
        <w:ind w:left="360" w:hanging="360"/>
      </w:pPr>
      <w:r>
        <w:rPr>
          <w:rFonts w:ascii="Calibri" w:hAnsi="Calibri" w:eastAsia="ＭＳ 明朝" w:cs="Calibri" w:eastAsiaTheme="minorEastAsia"/>
          <w:b/>
          <w:bCs/>
          <w:sz w:val="22"/>
          <w:szCs w:val="22"/>
        </w:rPr>
        <w:t>Connect with your host teacher.</w:t>
      </w:r>
      <w:r>
        <w:rPr>
          <w:rFonts w:ascii="Calibri" w:hAnsi="Calibri"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14:paraId="3FBF5563">
      <w:pPr>
        <w:pStyle w:val="ListNumber"/>
        <w:ind w:left="360" w:hanging="360"/>
      </w:pPr>
      <w:r>
        <w:rPr>
          <w:rFonts w:ascii="Calibri" w:hAnsi="Calibri" w:eastAsia="ＭＳ 明朝" w:cs="Calibri" w:eastAsiaTheme="minorEastAsia"/>
          <w:b/>
          <w:bCs/>
          <w:sz w:val="22"/>
          <w:szCs w:val="22"/>
        </w:rPr>
        <w:t>Choose your concept.</w:t>
      </w:r>
      <w:r>
        <w:rPr>
          <w:rFonts w:ascii="Calibri" w:hAnsi="Calibri"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14:paraId="5DA5FE4D">
      <w:pPr>
        <w:pStyle w:val="ListNumber"/>
        <w:ind w:left="360" w:hanging="360"/>
      </w:pPr>
      <w:r>
        <w:rPr>
          <w:rFonts w:ascii="Calibri" w:hAnsi="Calibri" w:eastAsia="ＭＳ 明朝" w:cs="Calibri" w:eastAsiaTheme="minorEastAsia"/>
          <w:b/>
          <w:bCs/>
          <w:sz w:val="22"/>
          <w:szCs w:val="22"/>
        </w:rPr>
        <w:t>Find the student(s) who'll help you investigate it.</w:t>
      </w:r>
      <w:r>
        <w:rPr>
          <w:rFonts w:ascii="Calibri" w:hAnsi="Calibri" w:eastAsia="ＭＳ 明朝" w:cs="Calibri" w:eastAsiaTheme="minorEastAsia"/>
          <w:sz w:val="22"/>
          <w:szCs w:val="22"/>
        </w:rPr>
        <w:t xml:space="preserve"> With your host teacher, identify one or more focus students whose mathematics work on this concept you'll follow. Give each a pseudonym now (e.g., “Jordan”). Real names never leave the classroom. (A research pair co-investigates one concept and may follow more than one student together.)</w:t>
      </w:r>
    </w:p>
    <w:p w14:paraId="56DF2968">
      <w:pPr>
        <w:pStyle w:val="ListNumber"/>
        <w:ind w:left="360" w:hanging="360"/>
      </w:pPr>
      <w:r>
        <w:rPr>
          <w:rFonts w:ascii="Calibri" w:hAnsi="Calibri" w:eastAsia="ＭＳ 明朝" w:cs="Calibri" w:eastAsiaTheme="minorEastAsia"/>
          <w:b/>
          <w:bCs/>
          <w:sz w:val="22"/>
          <w:szCs w:val="22"/>
        </w:rPr>
        <w:t>Name your question — a first read.</w:t>
      </w:r>
      <w:r>
        <w:rPr>
          <w:rFonts w:ascii="Calibri" w:hAnsi="Calibri"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14:paraId="14E6AB3F">
      <w:pPr>
        <w:pStyle w:val="ListNumber"/>
        <w:ind w:left="360" w:hanging="360"/>
      </w:pPr>
      <w:r>
        <w:rPr>
          <w:rFonts w:ascii="Calibri" w:hAnsi="Calibri" w:eastAsia="ＭＳ 明朝" w:cs="Calibri" w:eastAsiaTheme="minorEastAsia"/>
          <w:b/>
          <w:bCs/>
          <w:sz w:val="22"/>
          <w:szCs w:val="22"/>
        </w:rPr>
        <w:t>Collect work that reveals the thinking.</w:t>
      </w:r>
      <w:r>
        <w:rPr>
          <w:rFonts w:ascii="Calibri" w:hAnsi="Calibri" w:eastAsia="ＭＳ 明朝" w:cs="Calibri" w:eastAsiaTheme="minorEastAsia"/>
          <w:sz w:val="22"/>
          <w:szCs w:val="22"/>
        </w:rPr>
        <w:t xml:space="preserve"> Gather three to five pieces of actual student mathematics work on this concept from your field days. De-identify every piece (remove the name; a pseudonym or nothing). This is your first evidence of how students currently understand the concept.</w:t>
      </w:r>
    </w:p>
    <w:p w14:paraId="4A074F0F">
      <w:pPr>
        <w:pStyle w:val="ListNumber"/>
        <w:ind w:left="360" w:hanging="360"/>
      </w:pPr>
      <w:r>
        <w:rPr>
          <w:rFonts w:ascii="Calibri" w:hAnsi="Calibri" w:eastAsia="ＭＳ 明朝" w:cs="Calibri" w:eastAsiaTheme="minorEastAsia"/>
          <w:b/>
          <w:bCs/>
          <w:sz w:val="22"/>
          <w:szCs w:val="22"/>
        </w:rPr>
        <w:t>Locate the math.</w:t>
      </w:r>
      <w:r>
        <w:rPr>
          <w:rFonts w:ascii="Calibri" w:hAnsi="Calibri" w:eastAsia="ＭＳ 明朝" w:cs="Calibri" w:eastAsiaTheme="minorEastAsia"/>
          <w:sz w:val="22"/>
          <w:szCs w:val="22"/>
        </w:rPr>
        <w:t xml:space="preserve"> Identify one or two Ohio Learning Standards for this concept, and note where it sits developmentally — what feeds it, and what it leads to.</w:t>
      </w:r>
    </w:p>
    <w:p w14:paraId="5AD18407">
      <w:pPr>
        <w:pStyle w:val="ListNumber"/>
        <w:ind w:left="360" w:hanging="360"/>
      </w:pPr>
      <w:r>
        <w:rPr>
          <w:rFonts w:ascii="Calibri" w:hAnsi="Calibri" w:eastAsia="ＭＳ 明朝" w:cs="Calibri" w:eastAsiaTheme="minorEastAsia"/>
          <w:b/>
          <w:bCs/>
          <w:sz w:val="22"/>
          <w:szCs w:val="22"/>
        </w:rPr>
        <w:t>Write it up.</w:t>
      </w:r>
      <w:r>
        <w:rPr>
          <w:rFonts w:ascii="Calibri" w:hAnsi="Calibri" w:eastAsia="ＭＳ 明朝" w:cs="Calibri" w:eastAsiaTheme="minorEastAsia"/>
          <w:sz w:val="22"/>
          <w:szCs w:val="22"/>
        </w:rPr>
        <w:t xml:space="preserve"> A 1–2 page profile with clear headings: host-teacher &amp; classroom context · the concept · the student(s) · the question I'm asking · the collected work (described) · standards &amp; where the math sits.</w:t>
      </w:r>
    </w:p>
    <w:p w14:paraId="5695E98B">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3. Length &amp; Format</w:t>
      </w:r>
    </w:p>
    <w:p w14:paraId="75FDBFF2">
      <w:pPr>
        <w:pStyle w:val="ListBullet"/>
        <w:ind w:left="360" w:hanging="360"/>
      </w:pPr>
      <w:r>
        <w:rPr>
          <w:rFonts w:ascii="Calibri" w:hAnsi="Calibri" w:eastAsia="ＭＳ 明朝" w:cs="Calibri" w:eastAsiaTheme="minorEastAsia"/>
          <w:sz w:val="22"/>
          <w:szCs w:val="22"/>
        </w:rPr>
        <w:t>One to two pages, typed, single-spaced, 12pt — plus the three to five collected work samples attached.</w:t>
      </w:r>
    </w:p>
    <w:p w14:paraId="36817B2B">
      <w:pPr>
        <w:pStyle w:val="ListBullet"/>
        <w:ind w:left="360" w:hanging="360"/>
      </w:pPr>
      <w:r>
        <w:rPr>
          <w:rFonts w:ascii="Calibri" w:hAnsi="Calibri" w:eastAsia="ＭＳ 明朝" w:cs="Calibri" w:eastAsiaTheme="minorEastAsia"/>
          <w:sz w:val="22"/>
          <w:szCs w:val="22"/>
        </w:rPr>
        <w:t>Pseudonyms only. No student names or identifying details anywhere in the write-up OR the attached work. De-identification is absolute (FERPA).</w:t>
      </w:r>
    </w:p>
    <w:p w14:paraId="74A0786E">
      <w:pPr>
        <w:pStyle w:val="ListBullet"/>
        <w:ind w:left="360" w:hanging="360"/>
      </w:pPr>
      <w:r>
        <w:rPr>
          <w:rFonts w:ascii="Calibri" w:hAnsi="Calibri" w:eastAsia="ＭＳ 明朝" w:cs="Calibri" w:eastAsiaTheme="minorEastAsia"/>
          <w:sz w:val="22"/>
          <w:szCs w:val="22"/>
        </w:rPr>
        <w:t>Submit as PDF in Canvas.</w:t>
      </w:r>
    </w:p>
    <w:p w14:paraId="26A43EC8">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4. Working Collaboratively</w:t>
      </w:r>
    </w:p>
    <w:p w14:paraId="0FB042BB">
      <w:pPr>
        <w:spacing w:after="200" w:line="276" w:lineRule="auto"/>
      </w:pPr>
      <w:r>
        <w:rPr>
          <w:rFonts w:ascii="Calibri" w:hAnsi="Calibri"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14:paraId="4370CFD4">
      <w:pPr>
        <w:spacing w:after="200" w:line="276" w:lineRule="auto"/>
      </w:pPr>
      <w:r>
        <w:rPr>
          <w:rFonts w:ascii="Calibri" w:hAnsi="Calibri"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14:paraId="47961F16">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75"/>
        <w:gridCol w:w="8925"/>
      </w:tblGrid>
      <w:tr>
        <w:tc>
          <w:tcPr>
            <w:tcW w:w="187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2B9D0A5E">
            <w:pPr>
              <w:spacing w:after="200" w:line="276" w:lineRule="auto"/>
            </w:pPr>
            <w:r>
              <w:rPr>
                <w:rFonts w:ascii="Calibri" w:hAnsi="Calibri" w:eastAsia="ＭＳ 明朝" w:cs="Calibri" w:eastAsiaTheme="minorEastAsia"/>
                <w:b/>
                <w:bCs/>
                <w:sz w:val="22"/>
                <w:szCs w:val="22"/>
              </w:rPr>
              <w:t>Criteria</w:t>
            </w:r>
          </w:p>
        </w:tc>
        <w:tc>
          <w:tcPr>
            <w:tcW w:w="892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4381F2F">
            <w:pPr>
              <w:spacing w:after="200" w:line="276" w:lineRule="auto"/>
            </w:pPr>
            <w:r>
              <w:rPr>
                <w:rFonts w:ascii="Calibri" w:hAnsi="Calibri" w:eastAsia="ＭＳ 明朝" w:cs="Calibri" w:eastAsiaTheme="minorEastAsia"/>
                <w:b/>
                <w:bCs/>
                <w:sz w:val="22"/>
                <w:szCs w:val="22"/>
              </w:rPr>
              <w:t>Expectations</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B558E">
            <w:pPr>
              <w:spacing w:after="200" w:line="276" w:lineRule="auto"/>
            </w:pPr>
            <w:r>
              <w:rPr>
                <w:rFonts w:ascii="Calibri" w:hAnsi="Calibri" w:eastAsia="ＭＳ 明朝" w:cs="Calibri" w:eastAsiaTheme="minorEastAsia"/>
                <w:b/>
                <w:bCs/>
                <w:sz w:val="22"/>
                <w:szCs w:val="22"/>
              </w:rPr>
              <w:t>Context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D5764">
            <w:pPr>
              <w:spacing w:after="200" w:line="276" w:lineRule="auto"/>
            </w:pPr>
            <w:r>
              <w:rPr>
                <w:rFonts w:ascii="Calibri" w:hAnsi="Calibri" w:eastAsia="ＭＳ 明朝" w:cs="Calibri" w:eastAsiaTheme="minorEastAsia"/>
                <w:sz w:val="22"/>
                <w:szCs w:val="22"/>
              </w:rPr>
              <w:t>Classroom: Accurate, specific account of the teacher's style, one “non-negotiable,” and the scope &amp; sequence for the mathematics your class will be working on during Field 2 in Weeks 11 and 12.</w:t>
            </w:r>
          </w:p>
          <w:p w14:paraId="48BC181D">
            <w:pPr>
              <w:spacing w:after="200" w:line="276" w:lineRule="auto"/>
            </w:pPr>
            <w:r>
              <w:rPr>
                <w:rFonts w:ascii="Calibri" w:hAnsi="Calibri" w:eastAsia="ＭＳ 明朝" w:cs="Calibri" w:eastAsiaTheme="minorEastAsia"/>
                <w:sz w:val="22"/>
                <w:szCs w:val="22"/>
              </w:rPr>
              <w:t>Student(s): One or more focus students, chosen with the host teacher and given pseudonyms, with enough context that a reader could follow them into the immersion.</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C9EBF6">
            <w:pPr>
              <w:spacing w:after="200" w:line="276" w:lineRule="auto"/>
            </w:pPr>
            <w:r>
              <w:rPr>
                <w:rFonts w:ascii="Calibri" w:hAnsi="Calibri" w:eastAsia="ＭＳ 明朝" w:cs="Calibri" w:eastAsiaTheme="minorEastAsia"/>
                <w:b/>
                <w:bCs/>
                <w:sz w:val="22"/>
                <w:szCs w:val="22"/>
              </w:rPr>
              <w:t>The concept &amp; question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AEF892">
            <w:pPr>
              <w:spacing w:after="200" w:line="276" w:lineRule="auto"/>
            </w:pPr>
            <w:r>
              <w:rPr>
                <w:rFonts w:ascii="Calibri" w:hAnsi="Calibri" w:eastAsia="ＭＳ 明朝" w:cs="Calibri" w:eastAsiaTheme="minorEastAsia"/>
                <w:sz w:val="22"/>
                <w:szCs w:val="22"/>
              </w:rPr>
              <w:t>The concept: One specific, grade-appropriate mathematical concept — a genuine idea students build understanding of, not a whole strand or a bare skill.</w:t>
            </w:r>
          </w:p>
          <w:p w14:paraId="5CBAA9BB">
            <w:pPr>
              <w:spacing w:after="200" w:line="276" w:lineRule="auto"/>
            </w:pPr>
            <w:r>
              <w:rPr>
                <w:rFonts w:ascii="Calibri" w:hAnsi="Calibri" w:eastAsia="ＭＳ 明朝" w:cs="Calibri" w:eastAsiaTheme="minorEastAsia"/>
                <w:sz w:val="22"/>
                <w:szCs w:val="22"/>
              </w:rPr>
              <w:t>Your question: A first read, in one sentence — an open question about how students understand this concept, not whether they got it right, and not a diagnosis of a child. For instance:</w:t>
            </w:r>
          </w:p>
          <w:p w14:paraId="467572EC">
            <w:pPr>
              <w:spacing w:after="200" w:line="276" w:lineRule="auto"/>
            </w:pPr>
            <w:r>
              <w:rPr>
                <w:rFonts w:ascii="Calibri" w:hAnsi="Calibri" w:eastAsia="ＭＳ 明朝" w:cs="Calibri" w:eastAsiaTheme="minorEastAsia"/>
                <w:sz w:val="22"/>
                <w:szCs w:val="22"/>
              </w:rPr>
              <w:t>How do students reason about equal shares of a set?</w:t>
            </w:r>
          </w:p>
          <w:p w14:paraId="52301191">
            <w:pPr>
              <w:spacing w:after="200" w:line="276" w:lineRule="auto"/>
            </w:pPr>
            <w:r>
              <w:rPr>
                <w:rFonts w:ascii="Calibri" w:hAnsi="Calibri" w:eastAsia="ＭＳ 明朝" w:cs="Calibri" w:eastAsiaTheme="minorEastAsia"/>
                <w:sz w:val="22"/>
                <w:szCs w:val="22"/>
              </w:rPr>
              <w:t>What do students attend to when they decide two different solution methods are equivalent?</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E9E5D0">
            <w:pPr>
              <w:spacing w:after="200" w:line="276" w:lineRule="auto"/>
            </w:pPr>
            <w:r>
              <w:rPr>
                <w:rFonts w:ascii="Calibri" w:hAnsi="Calibri" w:eastAsia="ＭＳ 明朝" w:cs="Calibri" w:eastAsiaTheme="minorEastAsia"/>
                <w:b/>
                <w:bCs/>
                <w:sz w:val="22"/>
                <w:szCs w:val="22"/>
              </w:rPr>
              <w:t>Collected work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25878">
            <w:pPr>
              <w:spacing w:after="200" w:line="276" w:lineRule="auto"/>
            </w:pPr>
            <w:r>
              <w:rPr>
                <w:rFonts w:ascii="Calibri" w:hAnsi="Calibri" w:eastAsia="ＭＳ 明朝" w:cs="Calibri" w:eastAsiaTheme="minorEastAsia"/>
                <w:sz w:val="22"/>
                <w:szCs w:val="22"/>
              </w:rPr>
              <w:t>Three to five pieces of actual student math work on this concept, de-identified, and described so a reader can see what they reveal about how students currently understand it — real evidence, not “I got some work.”</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10B064">
            <w:pPr>
              <w:spacing w:after="200" w:line="276" w:lineRule="auto"/>
            </w:pPr>
            <w:r>
              <w:rPr>
                <w:rFonts w:ascii="Calibri" w:hAnsi="Calibri" w:eastAsia="ＭＳ 明朝" w:cs="Calibri" w:eastAsiaTheme="minorEastAsia"/>
                <w:b/>
                <w:bCs/>
                <w:sz w:val="22"/>
                <w:szCs w:val="22"/>
              </w:rPr>
              <w:t>Standards &amp; where the math sits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4EC870">
            <w:pPr>
              <w:spacing w:after="200" w:line="276" w:lineRule="auto"/>
            </w:pPr>
            <w:r>
              <w:rPr>
                <w:rFonts w:ascii="Calibri" w:hAnsi="Calibri" w:eastAsia="ＭＳ 明朝" w:cs="Calibri" w:eastAsiaTheme="minorEastAsia"/>
                <w:sz w:val="22"/>
                <w:szCs w:val="22"/>
              </w:rPr>
              <w:t>One or two accurate, grade-appropriate Ohio standards for the concept, with a brief note (a paragraph) on how the standard(s) relate to your concept and question, and where the math sits developmentally — what feeds it and what it leads to.</w:t>
            </w:r>
          </w:p>
        </w:tc>
      </w:tr>
    </w:tbl>
    <w:p w14:paraId="01531A6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2026-07-16T16:33:16.898Z</dcterms:modified>
  <cp:category/>
</cp:coreProperties>
</file>