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two or three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the genAI planning partner built into the BDA Planner: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load your concept, then describe the work you collected: for each sample, what the task asked for, what the work shows, and what it makes you wonder about students’ understanding. You do not upload the work again — it is already attached to your Concept Profile, and it was graded there. What is graded here is how closely you read it. Then, using the four rules, storm as many questions about how students understand that concept as you can, marking each one open or closed. Then produce the handoff PDF. (This PDF is Document 1.)</w:t>
      </w:r>
    </w:p>
    <w:p>
      <w:pPr>
        <w:pStyle w:val="ListNumber"/>
      </w:pPr>
      <w:r>
        <w:t>Sharpen with the genAI planning partner. Open the BDA Planner and go back to the question you wrote for your Concept Profile: Concept Profile → Concept &amp; question → 2c. Revisit it: revise it or replace it, using your question storm and our class discussion of what makes a research question better. Then press Check this.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Write Document 2 — your sharpening record. Write it yourself in Word or Google Docs, about one page: two or three moments from your exchanges with the genAI planning partner that genuinely moved your question forward, each described in your own words with what it contributed, plus your landed question and your reasoning. Save it as a PDF.</w:t>
      </w:r>
    </w:p>
    <w:p>
      <w:pPr>
        <w:pStyle w:val="Heading2"/>
      </w:pPr>
      <w:r>
        <w:t>3. Length &amp; Format</w:t>
      </w:r>
    </w:p>
    <w:p>
      <w:pPr>
        <w:pStyle w:val="ListBullet"/>
      </w:pPr>
      <w:r>
        <w:t>Document 1 — the Studio handoff PDF. In the Research Question Studio, confirm the snapshot on step 4 (Check names), then on step 5 (Hand off) press Produce PDF and choose Save as PDF. It holds your concept, your reading of the work you collected, and your question storm. The work itself stays attached to your Concept Profile; you do not upload it again.</w:t>
      </w:r>
    </w:p>
    <w:p>
      <w:pPr>
        <w:pStyle w:val="ListBullet"/>
      </w:pPr>
      <w:r>
        <w:t>Document 2 — your sharpening record, written by you (about one page) and saved as a PDF: the exchanges that moved your question forward, the landed question, and why.</w:t>
      </w:r>
    </w:p>
    <w:p>
      <w:pPr>
        <w:pStyle w:val="ListBullet"/>
      </w:pPr>
      <w:r>
        <w:t>Pseudonyms only — no student names or identifying details anywhere (FERPA). Everything the genAI planning partner reads is already de-identified: nothing you type into the Studio names a child, and the BDA Planner holds pseudonyms only.</w:t>
      </w:r>
    </w:p>
    <w:p>
      <w:pPr>
        <w:pStyle w:val="ListBullet"/>
      </w:pPr>
      <w:r>
        <w:t>Submit both PDFs in Canvas by Monday, October 12, 11:59 pm.</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The genAI planning partner's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The concept and your approach (5)</w:t>
            </w:r>
          </w:p>
        </w:tc>
        <w:tc>
          <w:tcPr>
            <w:tcW w:type="dxa" w:w="5400"/>
          </w:tcPr>
          <w:p>
            <w:r>
              <w:t>In your handoff PDF: the concept you’re investigating, the grade, the mathematics ahead, and how you’re thinking of engaging students in it — specific and evidence-based, not generic.</w:t>
            </w:r>
          </w:p>
        </w:tc>
      </w:tr>
      <w:tr>
        <w:tc>
          <w:tcPr>
            <w:tcW w:type="dxa" w:w="5400"/>
          </w:tcPr>
          <w:p>
            <w:r>
              <w:rPr>
                <w:b/>
              </w:rPr>
              <w:t>Reading the work (5)</w:t>
            </w:r>
          </w:p>
        </w:tc>
        <w:tc>
          <w:tcPr>
            <w:tcW w:type="dxa" w:w="5400"/>
          </w:tcPr>
          <w:p>
            <w:r>
              <w:t>For each of three to five samples from your Concept Profile: what the task asked for and what the work shows (2), and what it makes you wonder about students’ understanding (3). Description, not diagnosis — the wondering is where most of these points live.</w:t>
            </w:r>
          </w:p>
        </w:tc>
      </w:tr>
      <w:tr>
        <w:tc>
          <w:tcPr>
            <w:tcW w:type="dxa" w:w="5400"/>
          </w:tcPr>
          <w:p>
            <w:r>
              <w:rPr>
                <w:b/>
              </w:rPr>
              <w:t>The question storm (5)</w:t>
            </w:r>
          </w:p>
        </w:tc>
        <w:tc>
          <w:tcPr>
            <w:tcW w:type="dxa" w:w="5400"/>
          </w:tcPr>
          <w:p>
            <w:r>
              <w:t>At least six questions, each marked open or closed, and aimed at how students understand the concept rather than at one child. Six is the floor, not the target — the rules exist to push you past your first three.</w:t>
            </w:r>
          </w:p>
        </w:tc>
      </w:tr>
      <w:tr>
        <w:tc>
          <w:tcPr>
            <w:tcW w:type="dxa" w:w="5400"/>
          </w:tcPr>
          <w:p>
            <w:r>
              <w:rPr>
                <w:b/>
              </w:rPr>
              <w:t>Interaction with the genAI planning partner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