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rPr>
          <w:rFonts w:ascii="Inter" w:hAnsi="Inter"/>
          <w:b/>
          <w:color w:val="1F4E96"/>
        </w:rPr>
        <w:t>Pedagogical Excursion #4 — Differentiate: A Question for Every Learner</w:t>
      </w:r>
    </w:p>
    <w:p>
      <w:r>
        <w:rPr>
          <w:rFonts w:ascii="Inter" w:hAnsi="Inter"/>
          <w:b/>
          <w:color w:val="1F4E96"/>
          <w:sz w:val="28"/>
        </w:rPr>
        <w:t>TCE 318P FA26 (Edwards)</w:t>
      </w:r>
    </w:p>
    <w:p>
      <w:r>
        <w:rPr>
          <w:rFonts w:ascii="Inter" w:hAnsi="Inter"/>
          <w:b/>
          <w:color w:val="1F4E96"/>
          <w:sz w:val="28"/>
        </w:rPr>
        <w:t>20 points possible</w:t>
      </w:r>
    </w:p>
    <w:p>
      <w:pPr>
        <w:pStyle w:val="Heading2"/>
      </w:pPr>
      <w:r>
        <w:rPr>
          <w:rFonts w:ascii="Inter" w:hAnsi="Inter"/>
          <w:b/>
          <w:color w:val="1F4E96"/>
        </w:rPr>
        <w:t>1. What's This All About?</w:t>
      </w:r>
    </w:p>
    <w:p>
      <w:r>
        <w:t>In our first meeting this week you explored pentominoes as a learner. This week you take them up intentionally — as an instructional tool. In the Pentomino Builder, you and your classmates construct tasks for one another to solve, and you align each task to a Depth of Knowledge (DOK) level, so one set of pieces can meet learners at very different depths.</w:t>
      </w:r>
    </w:p>
    <w:p>
      <w:pPr>
        <w:pStyle w:val="Heading2"/>
      </w:pPr>
      <w:r>
        <w:rPr>
          <w:rFonts w:ascii="Inter" w:hAnsi="Inter"/>
          <w:b/>
          <w:color w:val="1F4E96"/>
        </w:rPr>
        <w:t>2. What Do I Need to Do?</w:t>
      </w:r>
    </w:p>
    <w:p>
      <w:r>
        <w:t>In the Pentomino Builder, build four pentomino tasks — one at each Depth of Knowledge level (DOK 1–4). Have a classmate complete them in Play mode, then submit the play report and a short reflection.</w:t>
      </w:r>
    </w:p>
    <w:p>
      <w:pPr>
        <w:pStyle w:val="ListNumber"/>
      </w:pPr>
      <w:r>
        <w:t>Build four tasks — one per DOK level. In the Builder, create a pentomino task for each level: recall a fact (DOK 1), apply a skill (DOK 2), reason and justify (DOK 3), and design or investigate (DOK 4). Use the Task &amp; DOK tab to set each task's level, its prompt, and who it is for.</w:t>
      </w:r>
    </w:p>
    <w:p>
      <w:pPr>
        <w:pStyle w:val="ListNumber"/>
      </w:pPr>
      <w:r>
        <w:t>Have someone play them. Ask a classmate to complete all four of your tasks in the Play tab. Then export the completed play report — all four tasks with their play — as a single PDF.</w:t>
      </w:r>
    </w:p>
    <w:p>
      <w:pPr>
        <w:pStyle w:val="ListNumber"/>
      </w:pPr>
      <w:r>
        <w:t>Reflect. Respond to this question: Looking at the play report, which of your four tasks landed at the DOK level you intended, and which did not — and what would you change about one of them?</w:t>
      </w:r>
    </w:p>
    <w:p>
      <w:pPr>
        <w:pStyle w:val="Heading2"/>
      </w:pPr>
      <w:r>
        <w:rPr>
          <w:rFonts w:ascii="Inter" w:hAnsi="Inter"/>
          <w:b/>
          <w:color w:val="1F4E96"/>
        </w:rPr>
        <w:t>3. Length &amp; Format:</w:t>
      </w:r>
    </w:p>
    <w:p>
      <w:pPr>
        <w:pStyle w:val="ListBullet"/>
      </w:pPr>
      <w:r>
        <w:t>The play report from the Pentomino Builder — all four tasks (DOK 1–4) with a classmate's completed play — exported as one PDF.</w:t>
      </w:r>
    </w:p>
    <w:p>
      <w:pPr>
        <w:pStyle w:val="ListBullet"/>
      </w:pPr>
      <w:r>
        <w:t>Your reflection — a short typed response to the question above.</w:t>
      </w:r>
    </w:p>
    <w:p>
      <w:pPr>
        <w:pStyle w:val="ListBullet"/>
      </w:pPr>
      <w:r>
        <w:t>FERPA-clean — your player is a classmate; no children's names.</w:t>
      </w:r>
    </w:p>
    <w:p>
      <w:pPr>
        <w:pStyle w:val="ListBullet"/>
      </w:pPr>
      <w:r>
        <w:t>Submit both in Canvas.</w:t>
      </w:r>
    </w:p>
    <w:p>
      <w:pPr>
        <w:pStyle w:val="Heading2"/>
      </w:pPr>
      <w:r>
        <w:rPr>
          <w:rFonts w:ascii="Inter" w:hAnsi="Inter"/>
          <w:b/>
          <w:color w:val="1F4E96"/>
        </w:rPr>
        <w:t>4. Working Collaboratively</w:t>
      </w:r>
    </w:p>
    <w:p>
      <w:r>
        <w:rPr>
          <w:rFonts w:ascii="Inter" w:hAnsi="Inter"/>
          <w:b/>
          <w:highlight w:val="yellow"/>
        </w:rPr>
        <w:t>This is an individual Pedagogical Excursion — the four tasks and the reflection must be your own.</w:t>
      </w:r>
      <w:r>
        <w:rPr>
          <w:rFonts w:ascii="Inter" w:hAnsi="Inter"/>
        </w:rPr>
        <w:t xml:space="preserve"> Having a classmate play your tasks is collaborative, and you'll play theirs in return — but the tasks you design and the reflection you write are yours.</w:t>
      </w:r>
    </w:p>
    <w:p>
      <w:r>
        <w:rPr>
          <w:rFonts w:ascii="Inter" w:hAnsi="Inter"/>
        </w:rPr>
        <w:t>AI tools may be used for formatting or clarity, but not to generate your reasoning, your solution, or your reflection. The thinking here has to be yours — that's the whole point.</w:t>
      </w:r>
    </w:p>
    <w:p>
      <w:pPr>
        <w:pStyle w:val="Heading2"/>
      </w:pPr>
      <w:r>
        <w:rPr>
          <w:rFonts w:ascii="Inter" w:hAnsi="Inter"/>
          <w:b/>
          <w:color w:val="1F4E96"/>
        </w:rPr>
        <w:t>5. How Is My Work Being Assessed?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448"/>
            <w:shd w:val="clear" w:fill="D9D9D9"/>
          </w:tcPr>
          <w:p>
            <w:r>
              <w:rPr>
                <w:rFonts w:ascii="Inter" w:hAnsi="Inter"/>
                <w:b/>
              </w:rPr>
              <w:t>Criteria</w:t>
            </w:r>
          </w:p>
        </w:tc>
        <w:tc>
          <w:tcPr>
            <w:tcW w:type="dxa" w:w="8352"/>
            <w:shd w:val="clear" w:fill="D9D9D9"/>
          </w:tcPr>
          <w:p>
            <w:r>
              <w:rPr>
                <w:rFonts w:ascii="Inter" w:hAnsi="Inter"/>
                <w:b/>
              </w:rPr>
              <w:t>Expectations</w:t>
            </w:r>
          </w:p>
        </w:tc>
      </w:tr>
      <w:tr>
        <w:tc>
          <w:tcPr>
            <w:tcW w:type="dxa" w:w="2448"/>
            <w:shd w:val="clear" w:fill="D9D9D9"/>
          </w:tcPr>
          <w:p>
            <w:r>
              <w:rPr>
                <w:rFonts w:ascii="Inter" w:hAnsi="Inter"/>
                <w:b/>
              </w:rPr>
              <w:t>DOK 1 — recall (4)</w:t>
            </w:r>
          </w:p>
        </w:tc>
        <w:tc>
          <w:tcPr>
            <w:tcW w:type="dxa" w:w="8352"/>
          </w:tcPr>
          <w:p>
            <w:r>
              <w:rPr>
                <w:rFonts w:ascii="Inter" w:hAnsi="Inter"/>
              </w:rPr>
              <w:t>A task aimed at DOK 1 (name, find, identify), plus its completed play in the report. 2 pts — task built and correctly aimed at the level; 2 pts — the play response is captured.</w:t>
            </w:r>
          </w:p>
        </w:tc>
      </w:tr>
      <w:tr>
        <w:tc>
          <w:tcPr>
            <w:tcW w:type="dxa" w:w="2448"/>
            <w:shd w:val="clear" w:fill="D9D9D9"/>
          </w:tcPr>
          <w:p>
            <w:r>
              <w:rPr>
                <w:rFonts w:ascii="Inter" w:hAnsi="Inter"/>
                <w:b/>
              </w:rPr>
              <w:t>DOK 2 — apply (4)</w:t>
            </w:r>
          </w:p>
        </w:tc>
        <w:tc>
          <w:tcPr>
            <w:tcW w:type="dxa" w:w="8352"/>
          </w:tcPr>
          <w:p>
            <w:r>
              <w:rPr>
                <w:rFonts w:ascii="Inter" w:hAnsi="Inter"/>
              </w:rPr>
              <w:t>A task aimed at DOK 2 (apply a skill or procedure), plus its play. 2 pts task · 2 pts play response.</w:t>
            </w:r>
          </w:p>
        </w:tc>
      </w:tr>
      <w:tr>
        <w:tc>
          <w:tcPr>
            <w:tcW w:type="dxa" w:w="2448"/>
            <w:shd w:val="clear" w:fill="D9D9D9"/>
          </w:tcPr>
          <w:p>
            <w:r>
              <w:rPr>
                <w:rFonts w:ascii="Inter" w:hAnsi="Inter"/>
                <w:b/>
              </w:rPr>
              <w:t>DOK 3 — reason (4)</w:t>
            </w:r>
          </w:p>
        </w:tc>
        <w:tc>
          <w:tcPr>
            <w:tcW w:type="dxa" w:w="8352"/>
          </w:tcPr>
          <w:p>
            <w:r>
              <w:rPr>
                <w:rFonts w:ascii="Inter" w:hAnsi="Inter"/>
              </w:rPr>
              <w:t>A task aimed at DOK 3 (justify, explain, prove), plus its play. 2 pts task · 2 pts play response.</w:t>
            </w:r>
          </w:p>
        </w:tc>
      </w:tr>
      <w:tr>
        <w:tc>
          <w:tcPr>
            <w:tcW w:type="dxa" w:w="2448"/>
            <w:shd w:val="clear" w:fill="D9D9D9"/>
          </w:tcPr>
          <w:p>
            <w:r>
              <w:rPr>
                <w:rFonts w:ascii="Inter" w:hAnsi="Inter"/>
                <w:b/>
              </w:rPr>
              <w:t>DOK 4 — design &amp; investigate (4)</w:t>
            </w:r>
          </w:p>
        </w:tc>
        <w:tc>
          <w:tcPr>
            <w:tcW w:type="dxa" w:w="8352"/>
          </w:tcPr>
          <w:p>
            <w:r>
              <w:rPr>
                <w:rFonts w:ascii="Inter" w:hAnsi="Inter"/>
              </w:rPr>
              <w:t>A task aimed at DOK 4 (design, investigate, extend), plus its play. 2 pts task · 2 pts play response.</w:t>
            </w:r>
          </w:p>
        </w:tc>
      </w:tr>
      <w:tr>
        <w:tc>
          <w:tcPr>
            <w:tcW w:type="dxa" w:w="2448"/>
            <w:shd w:val="clear" w:fill="D9D9D9"/>
          </w:tcPr>
          <w:p>
            <w:r>
              <w:rPr>
                <w:rFonts w:ascii="Inter" w:hAnsi="Inter"/>
                <w:b/>
              </w:rPr>
              <w:t>Reflection (4)</w:t>
            </w:r>
          </w:p>
        </w:tc>
        <w:tc>
          <w:tcPr>
            <w:tcW w:type="dxa" w:w="8352"/>
          </w:tcPr>
          <w:p>
            <w:r>
              <w:rPr>
                <w:rFonts w:ascii="Inter" w:hAnsi="Inter"/>
              </w:rPr>
              <w:t>A thoughtful response to the reflection question, grounded in what the play report showed — not a restatement of the prompt.</w:t>
            </w:r>
          </w:p>
        </w:tc>
      </w:tr>
      <w:tr>
        <w:tc>
          <w:tcPr>
            <w:tcW w:type="dxa" w:w="2448"/>
            <w:shd w:val="clear" w:fill="D9D9D9"/>
          </w:tcPr>
          <w:p>
            <w:r>
              <w:rPr>
                <w:rFonts w:ascii="Inter" w:hAnsi="Inter"/>
                <w:b/>
              </w:rPr>
              <w:t>Total (20)</w:t>
            </w:r>
          </w:p>
        </w:tc>
        <w:tc>
          <w:tcPr>
            <w:tcW w:type="dxa" w:w="8352"/>
          </w:tcPr>
          <w:p>
            <w:r>
              <w:rPr>
                <w:rFonts w:ascii="Inter" w:hAnsi="Inter"/>
              </w:rPr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cs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cs="Inte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 w:cs="Inte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 w:cs="Inte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 w:cs="Inte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