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pPr>
        <w:spacing w:after="0" w:before="0" w:line="259" w:lineRule="auto"/>
      </w:pPr>
      <w:r>
        <w:rPr>
          <w:b/>
          <w:i w:val="0"/>
          <w:color w:val="1F2933"/>
          <w:sz w:val="30"/>
        </w:rPr>
        <w:t>Investigation Plan: The Lesson That Answers Your Question</w:t>
      </w:r>
    </w:p>
    <w:p>
      <w:pPr>
        <w:spacing w:after="80" w:before="0" w:line="259" w:lineRule="auto"/>
      </w:pPr>
      <w:r>
        <w:rPr>
          <w:b w:val="0"/>
          <w:i/>
          <w:color w:val="1F2933"/>
          <w:sz w:val="20"/>
        </w:rPr>
        <w:t>Week 10 · TCE 318P FA26 (Edwards) · 25 points · due Sunday, November 1, 11:59 pm</w:t>
      </w:r>
    </w:p>
    <w:p>
      <w:pPr>
        <w:spacing w:after="40" w:before="140" w:line="259" w:lineRule="auto"/>
      </w:pPr>
      <w:r>
        <w:rPr>
          <w:b/>
          <w:i w:val="0"/>
          <w:color w:val="1F2933"/>
          <w:sz w:val="24"/>
        </w:rPr>
        <w:t>1. What’s This All About?</w:t>
      </w:r>
    </w:p>
    <w:p>
      <w:pPr>
        <w:spacing w:after="60" w:before="0" w:line="259" w:lineRule="auto"/>
      </w:pPr>
      <w:r>
        <w:rPr>
          <w:b w:val="0"/>
          <w:i w:val="0"/>
          <w:color w:val="1F2933"/>
          <w:sz w:val="21"/>
        </w:rPr>
        <w:t>In Week 7 you wrote a research question about how students understand one idea in mathematics. Since then you have built a lesson to investigate it in the BDA Planner: the During in Week 8, the Before and the After in Week 9. This week you put it together, have it reviewed, revise it, and submit it. Every part earns its place by what it lets you see about how students think. This is the plan you carry into the field in Weeks 11 and 12.</w:t>
      </w:r>
    </w:p>
    <w:p>
      <w:pPr>
        <w:spacing w:after="40" w:before="140" w:line="259" w:lineRule="auto"/>
      </w:pPr>
      <w:r>
        <w:rPr>
          <w:b/>
          <w:i w:val="0"/>
          <w:color w:val="1F2933"/>
          <w:sz w:val="24"/>
        </w:rPr>
        <w:t>2. What Do I Need to Do?</w:t>
      </w:r>
    </w:p>
    <w:p>
      <w:pPr>
        <w:spacing w:after="40" w:before="0" w:line="259" w:lineRule="auto"/>
      </w:pPr>
      <w:r>
        <w:rPr>
          <w:b w:val="0"/>
          <w:i w:val="0"/>
          <w:color w:val="1F2933"/>
          <w:sz w:val="21"/>
        </w:rPr>
        <w:t>Complete each tab of the BDA Planner:</w:t>
      </w:r>
    </w:p>
    <w:p>
      <w:pPr>
        <w:pStyle w:val="ListBullet"/>
        <w:spacing w:after="30" w:before="0" w:line="259" w:lineRule="auto"/>
      </w:pPr>
      <w:r>
        <w:rPr>
          <w:b/>
          <w:i w:val="0"/>
          <w:color w:val="1F2933"/>
          <w:sz w:val="21"/>
        </w:rPr>
        <w:t xml:space="preserve">Concept Profile: </w:t>
      </w:r>
      <w:r>
        <w:rPr>
          <w:b w:val="0"/>
          <w:i w:val="0"/>
          <w:color w:val="1F2933"/>
          <w:sz w:val="21"/>
        </w:rPr>
        <w:t>your research question, concept, standards, and focus students.</w:t>
      </w:r>
    </w:p>
    <w:p>
      <w:pPr>
        <w:pStyle w:val="ListBullet"/>
        <w:spacing w:after="30" w:before="0" w:line="259" w:lineRule="auto"/>
      </w:pPr>
      <w:r>
        <w:rPr>
          <w:b/>
          <w:i w:val="0"/>
          <w:color w:val="1F2933"/>
          <w:sz w:val="21"/>
        </w:rPr>
        <w:t xml:space="preserve">Plan → Before: </w:t>
      </w:r>
      <w:r>
        <w:rPr>
          <w:b w:val="0"/>
          <w:i w:val="0"/>
          <w:color w:val="1F2933"/>
          <w:sz w:val="21"/>
        </w:rPr>
        <w:t>a routine that warms up the same math without giving away the task.</w:t>
      </w:r>
    </w:p>
    <w:p>
      <w:pPr>
        <w:pStyle w:val="ListBullet"/>
        <w:spacing w:after="30" w:before="0" w:line="259" w:lineRule="auto"/>
      </w:pPr>
      <w:r>
        <w:rPr>
          <w:b/>
          <w:i w:val="0"/>
          <w:color w:val="1F2933"/>
          <w:sz w:val="21"/>
        </w:rPr>
        <w:t xml:space="preserve">Plan → During: </w:t>
      </w:r>
      <w:r>
        <w:rPr>
          <w:b w:val="0"/>
          <w:i w:val="0"/>
          <w:color w:val="1F2933"/>
          <w:sz w:val="21"/>
        </w:rPr>
        <w:t>your rich task, with key questions and anticipated student responses.</w:t>
      </w:r>
    </w:p>
    <w:p>
      <w:pPr>
        <w:pStyle w:val="ListBullet"/>
        <w:spacing w:after="30" w:before="0" w:line="259" w:lineRule="auto"/>
      </w:pPr>
      <w:r>
        <w:rPr>
          <w:b/>
          <w:i w:val="0"/>
          <w:color w:val="1F2933"/>
          <w:sz w:val="21"/>
        </w:rPr>
        <w:t xml:space="preserve">Plan → After: </w:t>
      </w:r>
      <w:r>
        <w:rPr>
          <w:b w:val="0"/>
          <w:i w:val="0"/>
          <w:color w:val="1F2933"/>
          <w:sz w:val="21"/>
        </w:rPr>
        <w:t>what you collect. An exit slip needs three or more Student Questions, each tied to your research question. Step 4, What it captures, becomes your plan’s Assessment.</w:t>
      </w:r>
    </w:p>
    <w:p>
      <w:pPr>
        <w:pStyle w:val="ListBullet"/>
        <w:spacing w:after="30" w:before="0" w:line="259" w:lineRule="auto"/>
      </w:pPr>
      <w:r>
        <w:rPr>
          <w:b/>
          <w:i w:val="0"/>
          <w:color w:val="1F2933"/>
          <w:sz w:val="21"/>
        </w:rPr>
        <w:t xml:space="preserve">Review (Day 1): </w:t>
      </w:r>
      <w:r>
        <w:rPr>
          <w:b w:val="0"/>
          <w:i w:val="0"/>
          <w:color w:val="1F2933"/>
          <w:sz w:val="21"/>
        </w:rPr>
        <w:t>your group of three reads your plan first. Then press Check this on the Before, the During, and the After.</w:t>
      </w:r>
    </w:p>
    <w:p>
      <w:pPr>
        <w:pStyle w:val="ListBullet"/>
        <w:spacing w:after="30" w:before="0" w:line="259" w:lineRule="auto"/>
      </w:pPr>
      <w:r>
        <w:rPr>
          <w:b/>
          <w:i w:val="0"/>
          <w:color w:val="1F2933"/>
          <w:sz w:val="21"/>
        </w:rPr>
        <w:t xml:space="preserve">Share (Day 2): </w:t>
      </w:r>
      <w:r>
        <w:rPr>
          <w:b w:val="0"/>
          <w:i w:val="0"/>
          <w:color w:val="1F2933"/>
          <w:sz w:val="21"/>
        </w:rPr>
        <w:t>revise from both reads, write one paragraph on how the feedback shaped your After, then press Generate Investigation Plan — PDF and submit that one file in Canvas.</w:t>
      </w:r>
    </w:p>
    <w:p>
      <w:pPr>
        <w:spacing w:after="60" w:before="60" w:line="259" w:lineRule="auto"/>
      </w:pPr>
      <w:r>
        <w:rPr>
          <w:b/>
          <w:i w:val="0"/>
          <w:color w:val="1F2933"/>
          <w:sz w:val="21"/>
        </w:rPr>
        <w:t xml:space="preserve">Pseudonyms only. </w:t>
      </w:r>
      <w:r>
        <w:rPr>
          <w:b w:val="0"/>
          <w:i w:val="0"/>
          <w:color w:val="1F2933"/>
          <w:sz w:val="21"/>
        </w:rPr>
        <w:t xml:space="preserve">No student names or identifying details anywhere (FERPA). </w:t>
      </w:r>
      <w:r>
        <w:rPr>
          <w:b/>
          <w:i w:val="0"/>
          <w:color w:val="1F2933"/>
          <w:sz w:val="21"/>
        </w:rPr>
        <w:t xml:space="preserve">The plan is yours. </w:t>
      </w:r>
      <w:r>
        <w:rPr>
          <w:b w:val="0"/>
          <w:i w:val="0"/>
          <w:color w:val="1F2933"/>
          <w:sz w:val="21"/>
        </w:rPr>
        <w:t>You may teach the same lesson as the classmate you’re placed with, but each of you builds and submits your own.</w:t>
      </w:r>
    </w:p>
    <w:p>
      <w:pPr>
        <w:spacing w:after="40" w:before="140" w:line="259" w:lineRule="auto"/>
      </w:pPr>
      <w:r>
        <w:rPr>
          <w:b/>
          <w:i w:val="0"/>
          <w:color w:val="1F2933"/>
          <w:sz w:val="24"/>
        </w:rPr>
        <w:t>3. How Will My Work Be Assessed?</w:t>
      </w:r>
    </w:p>
    <w:tbl>
      <w:tblPr>
        <w:tblStyle w:val="TableGrid"/>
        <w:tblW w:type="auto" w:w="0"/>
        <w:jc w:val="center"/>
        <w:tblLayout w:type="fixed"/>
        <w:tblLook w:firstColumn="1" w:firstRow="1" w:lastColumn="0" w:lastRow="0" w:noHBand="0" w:noVBand="1" w:val="04A0"/>
        <w:tblLayout w:type="fixed"/>
      </w:tblPr>
      <w:tblGrid>
        <w:gridCol w:w="2232"/>
        <w:gridCol w:w="792"/>
        <w:gridCol w:w="6912"/>
      </w:tblGrid>
      <w:tr>
        <w:tc>
          <w:tcPr>
            <w:tcW w:type="dxa" w:w="2232"/>
            <w:shd w:val="clear" w:color="auto" w:fill="E8EEF6"/>
          </w:tcPr>
          <w:p>
            <w:pPr>
              <w:spacing w:after="0" w:line="240" w:lineRule="auto"/>
            </w:pPr>
            <w:r/>
            <w:r>
              <w:rPr>
                <w:b/>
                <w:color w:val="1F2933"/>
                <w:sz w:val="19"/>
              </w:rPr>
              <w:t>Criterion</w:t>
            </w:r>
          </w:p>
        </w:tc>
        <w:tc>
          <w:tcPr>
            <w:tcW w:type="dxa" w:w="792"/>
            <w:shd w:val="clear" w:color="auto" w:fill="E8EEF6"/>
          </w:tcPr>
          <w:p>
            <w:pPr>
              <w:spacing w:after="0" w:line="240" w:lineRule="auto"/>
            </w:pPr>
            <w:r/>
            <w:r>
              <w:rPr>
                <w:b/>
                <w:color w:val="1F2933"/>
                <w:sz w:val="19"/>
              </w:rPr>
              <w:t>Points</w:t>
            </w:r>
          </w:p>
        </w:tc>
        <w:tc>
          <w:tcPr>
            <w:tcW w:type="dxa" w:w="6912"/>
            <w:shd w:val="clear" w:color="auto" w:fill="E8EEF6"/>
          </w:tcPr>
          <w:p>
            <w:pPr>
              <w:spacing w:after="0" w:line="240" w:lineRule="auto"/>
            </w:pPr>
            <w:r/>
            <w:r>
              <w:rPr>
                <w:b/>
                <w:color w:val="1F2933"/>
                <w:sz w:val="19"/>
              </w:rPr>
              <w:t>What earns full credit</w:t>
            </w:r>
          </w:p>
        </w:tc>
      </w:tr>
      <w:tr>
        <w:tc>
          <w:tcPr>
            <w:tcW w:type="dxa" w:w="2232"/>
          </w:tcPr>
          <w:p>
            <w:pPr>
              <w:spacing w:after="0" w:line="240" w:lineRule="auto"/>
            </w:pPr>
            <w:r/>
            <w:r>
              <w:rPr>
                <w:b/>
                <w:color w:val="1F2933"/>
                <w:sz w:val="19"/>
              </w:rPr>
              <w:t>Before</w:t>
            </w:r>
          </w:p>
        </w:tc>
        <w:tc>
          <w:tcPr>
            <w:tcW w:type="dxa" w:w="792"/>
          </w:tcPr>
          <w:p>
            <w:pPr>
              <w:spacing w:after="0" w:line="240" w:lineRule="auto"/>
            </w:pPr>
            <w:r/>
            <w:r>
              <w:rPr>
                <w:b w:val="0"/>
                <w:color w:val="1F2933"/>
                <w:sz w:val="19"/>
              </w:rPr>
              <w:t>5</w:t>
            </w:r>
          </w:p>
        </w:tc>
        <w:tc>
          <w:tcPr>
            <w:tcW w:type="dxa" w:w="6912"/>
          </w:tcPr>
          <w:p>
            <w:pPr>
              <w:spacing w:after="0" w:line="240" w:lineRule="auto"/>
            </w:pPr>
            <w:r/>
            <w:r>
              <w:rPr>
                <w:b w:val="0"/>
                <w:color w:val="1F2933"/>
                <w:sz w:val="19"/>
              </w:rPr>
              <w:t>A routine on the same math as your task that shows students’ entry thinking and does not give away the task’s key step.</w:t>
            </w:r>
          </w:p>
        </w:tc>
      </w:tr>
      <w:tr>
        <w:tc>
          <w:tcPr>
            <w:tcW w:type="dxa" w:w="2232"/>
          </w:tcPr>
          <w:p>
            <w:pPr>
              <w:spacing w:after="0" w:line="240" w:lineRule="auto"/>
            </w:pPr>
            <w:r/>
            <w:r>
              <w:rPr>
                <w:b/>
                <w:color w:val="1F2933"/>
                <w:sz w:val="19"/>
              </w:rPr>
              <w:t>During</w:t>
            </w:r>
          </w:p>
        </w:tc>
        <w:tc>
          <w:tcPr>
            <w:tcW w:type="dxa" w:w="792"/>
          </w:tcPr>
          <w:p>
            <w:pPr>
              <w:spacing w:after="0" w:line="240" w:lineRule="auto"/>
            </w:pPr>
            <w:r/>
            <w:r>
              <w:rPr>
                <w:b w:val="0"/>
                <w:color w:val="1F2933"/>
                <w:sz w:val="19"/>
              </w:rPr>
              <w:t>5</w:t>
            </w:r>
          </w:p>
        </w:tc>
        <w:tc>
          <w:tcPr>
            <w:tcW w:type="dxa" w:w="6912"/>
          </w:tcPr>
          <w:p>
            <w:pPr>
              <w:spacing w:after="0" w:line="240" w:lineRule="auto"/>
            </w:pPr>
            <w:r/>
            <w:r>
              <w:rPr>
                <w:b w:val="0"/>
                <w:color w:val="1F2933"/>
                <w:sz w:val="19"/>
              </w:rPr>
              <w:t>A rich task with clear procedures, key questions, and anticipated student responses, including likely misconceptions.</w:t>
            </w:r>
          </w:p>
        </w:tc>
      </w:tr>
      <w:tr>
        <w:tc>
          <w:tcPr>
            <w:tcW w:type="dxa" w:w="2232"/>
          </w:tcPr>
          <w:p>
            <w:pPr>
              <w:spacing w:after="0" w:line="240" w:lineRule="auto"/>
            </w:pPr>
            <w:r/>
            <w:r>
              <w:rPr>
                <w:b/>
                <w:color w:val="1F2933"/>
                <w:sz w:val="19"/>
              </w:rPr>
              <w:t>After</w:t>
            </w:r>
          </w:p>
        </w:tc>
        <w:tc>
          <w:tcPr>
            <w:tcW w:type="dxa" w:w="792"/>
          </w:tcPr>
          <w:p>
            <w:pPr>
              <w:spacing w:after="0" w:line="240" w:lineRule="auto"/>
            </w:pPr>
            <w:r/>
            <w:r>
              <w:rPr>
                <w:b w:val="0"/>
                <w:color w:val="1F2933"/>
                <w:sz w:val="19"/>
              </w:rPr>
              <w:t>5</w:t>
            </w:r>
          </w:p>
        </w:tc>
        <w:tc>
          <w:tcPr>
            <w:tcW w:type="dxa" w:w="6912"/>
          </w:tcPr>
          <w:p>
            <w:pPr>
              <w:spacing w:after="0" w:line="240" w:lineRule="auto"/>
            </w:pPr>
            <w:r/>
            <w:r>
              <w:rPr>
                <w:b w:val="0"/>
                <w:color w:val="1F2933"/>
                <w:sz w:val="19"/>
              </w:rPr>
              <w:t>Collects student work you could study against your question. An exit slip has three or more Student Questions, each tied to your research question.</w:t>
            </w:r>
          </w:p>
        </w:tc>
      </w:tr>
      <w:tr>
        <w:tc>
          <w:tcPr>
            <w:tcW w:type="dxa" w:w="2232"/>
          </w:tcPr>
          <w:p>
            <w:pPr>
              <w:spacing w:after="0" w:line="240" w:lineRule="auto"/>
            </w:pPr>
            <w:r/>
            <w:r>
              <w:rPr>
                <w:b/>
                <w:color w:val="1F2933"/>
                <w:sz w:val="19"/>
              </w:rPr>
              <w:t>Assessment</w:t>
            </w:r>
          </w:p>
        </w:tc>
        <w:tc>
          <w:tcPr>
            <w:tcW w:type="dxa" w:w="792"/>
          </w:tcPr>
          <w:p>
            <w:pPr>
              <w:spacing w:after="0" w:line="240" w:lineRule="auto"/>
            </w:pPr>
            <w:r/>
            <w:r>
              <w:rPr>
                <w:b w:val="0"/>
                <w:color w:val="1F2933"/>
                <w:sz w:val="19"/>
              </w:rPr>
              <w:t>3</w:t>
            </w:r>
          </w:p>
        </w:tc>
        <w:tc>
          <w:tcPr>
            <w:tcW w:type="dxa" w:w="6912"/>
          </w:tcPr>
          <w:p>
            <w:pPr>
              <w:spacing w:after="0" w:line="240" w:lineRule="auto"/>
            </w:pPr>
            <w:r/>
            <w:r>
              <w:rPr>
                <w:b w:val="0"/>
                <w:color w:val="1F2933"/>
                <w:sz w:val="19"/>
              </w:rPr>
              <w:t>Names what you will look for in the work from the During and the After, and what would not count as evidence.</w:t>
            </w:r>
          </w:p>
        </w:tc>
      </w:tr>
      <w:tr>
        <w:tc>
          <w:tcPr>
            <w:tcW w:type="dxa" w:w="2232"/>
          </w:tcPr>
          <w:p>
            <w:pPr>
              <w:spacing w:after="0" w:line="240" w:lineRule="auto"/>
            </w:pPr>
            <w:r/>
            <w:r>
              <w:rPr>
                <w:b/>
                <w:color w:val="1F2933"/>
                <w:sz w:val="19"/>
              </w:rPr>
              <w:t>One lesson aimed at the question</w:t>
            </w:r>
          </w:p>
        </w:tc>
        <w:tc>
          <w:tcPr>
            <w:tcW w:type="dxa" w:w="792"/>
          </w:tcPr>
          <w:p>
            <w:pPr>
              <w:spacing w:after="0" w:line="240" w:lineRule="auto"/>
            </w:pPr>
            <w:r/>
            <w:r>
              <w:rPr>
                <w:b w:val="0"/>
                <w:color w:val="1F2933"/>
                <w:sz w:val="19"/>
              </w:rPr>
              <w:t>4</w:t>
            </w:r>
          </w:p>
        </w:tc>
        <w:tc>
          <w:tcPr>
            <w:tcW w:type="dxa" w:w="6912"/>
          </w:tcPr>
          <w:p>
            <w:pPr>
              <w:spacing w:after="0" w:line="240" w:lineRule="auto"/>
            </w:pPr>
            <w:r/>
            <w:r>
              <w:rPr>
                <w:b w:val="0"/>
                <w:color w:val="1F2933"/>
                <w:sz w:val="19"/>
              </w:rPr>
              <w:t>The Before, During, and After are one lesson on one concept, match your standards, and together point at your research question.</w:t>
            </w:r>
          </w:p>
        </w:tc>
      </w:tr>
      <w:tr>
        <w:tc>
          <w:tcPr>
            <w:tcW w:type="dxa" w:w="2232"/>
          </w:tcPr>
          <w:p>
            <w:pPr>
              <w:spacing w:after="0" w:line="240" w:lineRule="auto"/>
            </w:pPr>
            <w:r/>
            <w:r>
              <w:rPr>
                <w:b/>
                <w:color w:val="1F2933"/>
                <w:sz w:val="19"/>
              </w:rPr>
              <w:t>Reflection on feedback</w:t>
            </w:r>
          </w:p>
        </w:tc>
        <w:tc>
          <w:tcPr>
            <w:tcW w:type="dxa" w:w="792"/>
          </w:tcPr>
          <w:p>
            <w:pPr>
              <w:spacing w:after="0" w:line="240" w:lineRule="auto"/>
            </w:pPr>
            <w:r/>
            <w:r>
              <w:rPr>
                <w:b w:val="0"/>
                <w:color w:val="1F2933"/>
                <w:sz w:val="19"/>
              </w:rPr>
              <w:t>3</w:t>
            </w:r>
          </w:p>
        </w:tc>
        <w:tc>
          <w:tcPr>
            <w:tcW w:type="dxa" w:w="6912"/>
          </w:tcPr>
          <w:p>
            <w:pPr>
              <w:spacing w:after="0" w:line="240" w:lineRule="auto"/>
            </w:pPr>
            <w:r/>
            <w:r>
              <w:rPr>
                <w:b w:val="0"/>
                <w:color w:val="1F2933"/>
                <w:sz w:val="19"/>
              </w:rPr>
              <w:t>One paragraph, specific to your After: what changed from your early drafts, what you set aside, and why. We are grading the judgment you brought to the feedback, not proof that you received it.</w:t>
            </w:r>
          </w:p>
        </w:tc>
      </w:tr>
      <w:tr>
        <w:tc>
          <w:tcPr>
            <w:tcW w:type="dxa" w:w="2232"/>
            <w:shd w:val="clear" w:color="auto" w:fill="E8EEF6"/>
          </w:tcPr>
          <w:p>
            <w:pPr>
              <w:spacing w:after="0" w:line="240" w:lineRule="auto"/>
            </w:pPr>
            <w:r/>
            <w:r>
              <w:rPr>
                <w:b/>
                <w:color w:val="1F2933"/>
                <w:sz w:val="19"/>
              </w:rPr>
              <w:t>Total</w:t>
            </w:r>
          </w:p>
        </w:tc>
        <w:tc>
          <w:tcPr>
            <w:tcW w:type="dxa" w:w="792"/>
            <w:shd w:val="clear" w:color="auto" w:fill="E8EEF6"/>
          </w:tcPr>
          <w:p>
            <w:pPr>
              <w:spacing w:after="0" w:line="240" w:lineRule="auto"/>
            </w:pPr>
            <w:r/>
            <w:r>
              <w:rPr>
                <w:b/>
                <w:color w:val="1F2933"/>
                <w:sz w:val="19"/>
              </w:rPr>
              <w:t>25</w:t>
            </w:r>
          </w:p>
        </w:tc>
        <w:tc>
          <w:tcPr>
            <w:tcW w:type="dxa" w:w="6912"/>
            <w:shd w:val="clear" w:color="auto" w:fill="E8EEF6"/>
          </w:tcPr>
          <w:p>
            <w:pPr>
              <w:spacing w:after="0" w:line="240" w:lineRule="auto"/>
            </w:pPr>
            <w:r/>
            <w:r>
              <w:rPr>
                <w:b w:val="0"/>
                <w:color w:val="1F2933"/>
                <w:sz w:val="19"/>
              </w:rPr>
            </w:r>
          </w:p>
        </w:tc>
      </w:tr>
    </w:tbl>
    <w:sectPr>
      <w:type w:val="nextPage"/>
      <w:pgSz w:w="12240" w:h="15840"/>
      <w:pgMar w:top="864" w:right="1152" w:bottom="864" w:left="1152" w:header="0" w:footer="0" w:gutter="0"/>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0"/>
      <w:jc w:val="star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LibreOffice/26.2.3.2$Linux_X86_64 LibreOffice_project/620$Build-2</Application>
  <AppVersion>15.0000</AppVersion>
  <Pages>2</Pages>
  <Words>649</Words>
  <Characters>3227</Characters>
  <CharactersWithSpaces>3819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2026-07-16T16:06:50.467Z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