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26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66.png" ContentType="image/png"/>
  <Override PartName="/word/media/rId118.png" ContentType="image/png"/>
  <Override PartName="/word/media/rId122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номер 4</w:t>
      </w:r>
    </w:p>
    <w:p>
      <w:pPr>
        <w:pStyle w:val="Subtitle"/>
      </w:pPr>
      <w:r>
        <w:t xml:space="preserve">Чистовой вариант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Научиться правильно работать с Git, используя две крутые штуки: Gitflow (удобная организация веток) и Conventional Commits (осмысленные комментарии к коммитам).</w:t>
      </w:r>
      <w:r>
        <w:t xml:space="preserve"> </w:t>
      </w:r>
      <w:r>
        <w:t xml:space="preserve"># Задание</w:t>
      </w:r>
    </w:p>
    <w:bookmarkEnd w:id="20"/>
    <w:bookmarkStart w:id="2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Compact"/>
        <w:numPr>
          <w:ilvl w:val="0"/>
          <w:numId w:val="1001"/>
        </w:numPr>
      </w:pPr>
      <w:r>
        <w:t xml:space="preserve">Gitflow — как организуем ветки</w:t>
      </w:r>
      <w:r>
        <w:t xml:space="preserve"> </w:t>
      </w:r>
      <w:r>
        <w:t xml:space="preserve">Вместо одной вечной ветки master используем две основные:</w:t>
      </w:r>
      <w:r>
        <w:t xml:space="preserve"> </w:t>
      </w:r>
      <w:r>
        <w:t xml:space="preserve">master — тут только готовые релизы.</w:t>
      </w:r>
      <w:r>
        <w:t xml:space="preserve"> </w:t>
      </w:r>
      <w:r>
        <w:t xml:space="preserve">develop — тут ведется основная разработка.</w:t>
      </w:r>
      <w:r>
        <w:t xml:space="preserve"> </w:t>
      </w:r>
      <w:r>
        <w:t xml:space="preserve">Типы временных веток:</w:t>
      </w:r>
      <w:r>
        <w:t xml:space="preserve"> </w:t>
      </w:r>
      <w:r>
        <w:t xml:space="preserve">feature — для новых функций. Создается от develop, сливается обратно в develop.</w:t>
      </w:r>
      <w:r>
        <w:t xml:space="preserve"> </w:t>
      </w:r>
      <w:r>
        <w:t xml:space="preserve">release — для подготовки релиза. Создается от develop, сливается в master (с тегом версии) и в develop.</w:t>
      </w:r>
      <w:r>
        <w:t xml:space="preserve"> </w:t>
      </w:r>
      <w:r>
        <w:t xml:space="preserve">hotfix — для срочных исправлений багов на проде. Создается от master, сливается в master и develop.</w:t>
      </w:r>
    </w:p>
    <w:p>
      <w:pPr>
        <w:pStyle w:val="Compact"/>
        <w:numPr>
          <w:ilvl w:val="0"/>
          <w:numId w:val="1001"/>
        </w:numPr>
      </w:pPr>
      <w:r>
        <w:t xml:space="preserve">Семантическое версионирование (SemVer)</w:t>
      </w:r>
      <w:r>
        <w:t xml:space="preserve"> </w:t>
      </w:r>
      <w:r>
        <w:t xml:space="preserve">Версия всегда пишется как МАЖОРНАЯ.МИНОРНАЯ.ПАТЧ.</w:t>
      </w:r>
      <w:r>
        <w:t xml:space="preserve"> </w:t>
      </w:r>
      <w:r>
        <w:t xml:space="preserve">ПАТЧ (1.0.1) — просто починили баг.</w:t>
      </w:r>
      <w:r>
        <w:t xml:space="preserve"> </w:t>
      </w:r>
      <w:r>
        <w:t xml:space="preserve">МИНОРНАЯ (1.1.0) — добавили новую фичу, всё работает по-старому.</w:t>
      </w:r>
      <w:r>
        <w:t xml:space="preserve"> </w:t>
      </w:r>
      <w:r>
        <w:t xml:space="preserve">МАЖОРНАЯ (2.0.0) — всё сломали (изменения несовместимы со старыми версиями).</w:t>
      </w:r>
    </w:p>
    <w:p>
      <w:pPr>
        <w:pStyle w:val="Compact"/>
        <w:numPr>
          <w:ilvl w:val="0"/>
          <w:numId w:val="1001"/>
        </w:numPr>
      </w:pPr>
      <w:r>
        <w:t xml:space="preserve">Conventional Commits — как пишем коммиты</w:t>
      </w:r>
      <w:r>
        <w:t xml:space="preserve"> </w:t>
      </w:r>
      <w:r>
        <w:t xml:space="preserve">Нужно, чтобы по названию коммита было сразу понятно, что сделали и какую версию увеличивать.</w:t>
      </w:r>
      <w:r>
        <w:t xml:space="preserve"> </w:t>
      </w:r>
      <w:r>
        <w:t xml:space="preserve">Формат:</w:t>
      </w:r>
      <w:r>
        <w:t xml:space="preserve"> </w:t>
      </w:r>
      <w:r>
        <w:t xml:space="preserve">:</w:t>
      </w:r>
      <w:r>
        <w:t xml:space="preserve"> </w:t>
      </w:r>
      <w:r>
        <w:t xml:space="preserve"> </w:t>
      </w:r>
      <w:r>
        <w:t xml:space="preserve">Главные типы:</w:t>
      </w:r>
      <w:r>
        <w:t xml:space="preserve"> </w:t>
      </w:r>
      <w:r>
        <w:t xml:space="preserve">fix: — исправили баг (-&gt; увеличивается ПАТЧ).</w:t>
      </w:r>
      <w:r>
        <w:t xml:space="preserve"> </w:t>
      </w:r>
      <w:r>
        <w:t xml:space="preserve">feat: — добавили новую функцию (-&gt; увеличивается МИНОРНАЯ).</w:t>
      </w:r>
      <w:r>
        <w:t xml:space="preserve"> </w:t>
      </w:r>
      <w:r>
        <w:t xml:space="preserve">BREAKING CHANGE: — если есть этот текст (-&gt; увеличивается МАЖОРНАЯ).</w:t>
      </w:r>
      <w:r>
        <w:t xml:space="preserve"> </w:t>
      </w:r>
      <w:r>
        <w:t xml:space="preserve">Остальные популярные типы:</w:t>
      </w:r>
      <w:r>
        <w:t xml:space="preserve"> </w:t>
      </w:r>
      <w:r>
        <w:t xml:space="preserve">docs: — правки в документации.</w:t>
      </w:r>
      <w:r>
        <w:t xml:space="preserve"> </w:t>
      </w:r>
      <w:r>
        <w:t xml:space="preserve">style: — форматирование кода.</w:t>
      </w:r>
      <w:r>
        <w:t xml:space="preserve"> </w:t>
      </w:r>
      <w:r>
        <w:t xml:space="preserve">refactor: — переписывание кода без изменения логики.</w:t>
      </w:r>
      <w:r>
        <w:t xml:space="preserve"> </w:t>
      </w:r>
      <w:r>
        <w:t xml:space="preserve">test: — правки в тестах.</w:t>
      </w:r>
      <w:r>
        <w:t xml:space="preserve"> </w:t>
      </w:r>
      <w:r>
        <w:t xml:space="preserve">chore: — обновление служебных файлов (например, changelog).</w:t>
      </w:r>
    </w:p>
    <w:bookmarkEnd w:id="21"/>
    <w:bookmarkStart w:id="12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установка git-flow (Рис 1 и 2)</w:t>
      </w:r>
    </w:p>
    <w:bookmarkStart w:id="25" w:name="fig:01"/>
    <w:p>
      <w:pPr>
        <w:pStyle w:val="CaptionedFigure"/>
      </w:pPr>
      <w:r>
        <w:drawing>
          <wp:inline>
            <wp:extent cx="3733800" cy="735831"/>
            <wp:effectExtent b="0" l="0" r="0" t="0"/>
            <wp:docPr descr="Figure 1: “”" title="" id="23" name="Picture"/>
            <a:graphic>
              <a:graphicData uri="http://schemas.openxmlformats.org/drawingml/2006/picture">
                <pic:pic>
                  <pic:nvPicPr>
                    <pic:cNvPr descr="image/scr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5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“”</w:t>
      </w:r>
    </w:p>
    <w:bookmarkEnd w:id="25"/>
    <w:bookmarkStart w:id="29" w:name="fig:02"/>
    <w:p>
      <w:pPr>
        <w:pStyle w:val="CaptionedFigure"/>
      </w:pPr>
      <w:r>
        <w:drawing>
          <wp:inline>
            <wp:extent cx="3733800" cy="471291"/>
            <wp:effectExtent b="0" l="0" r="0" t="0"/>
            <wp:docPr descr="Figure 2: “”" title="" id="27" name="Picture"/>
            <a:graphic>
              <a:graphicData uri="http://schemas.openxmlformats.org/drawingml/2006/picture">
                <pic:pic>
                  <pic:nvPicPr>
                    <pic:cNvPr descr="image/scr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1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“”</w:t>
      </w:r>
    </w:p>
    <w:bookmarkEnd w:id="29"/>
    <w:p>
      <w:pPr>
        <w:pStyle w:val="BodyText"/>
      </w:pPr>
      <w:r>
        <w:t xml:space="preserve">установка Node.js (Рис 3 и 4)</w:t>
      </w:r>
    </w:p>
    <w:bookmarkStart w:id="33" w:name="fig:03"/>
    <w:p>
      <w:pPr>
        <w:pStyle w:val="CaptionedFigure"/>
      </w:pPr>
      <w:r>
        <w:drawing>
          <wp:inline>
            <wp:extent cx="3733800" cy="386592"/>
            <wp:effectExtent b="0" l="0" r="0" t="0"/>
            <wp:docPr descr="Figure 3: “”" title="" id="31" name="Picture"/>
            <a:graphic>
              <a:graphicData uri="http://schemas.openxmlformats.org/drawingml/2006/picture">
                <pic:pic>
                  <pic:nvPicPr>
                    <pic:cNvPr descr="image/scr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6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“”</w:t>
      </w:r>
    </w:p>
    <w:bookmarkEnd w:id="33"/>
    <w:bookmarkStart w:id="37" w:name="fig:04"/>
    <w:p>
      <w:pPr>
        <w:pStyle w:val="CaptionedFigure"/>
      </w:pPr>
      <w:r>
        <w:drawing>
          <wp:inline>
            <wp:extent cx="3733800" cy="489932"/>
            <wp:effectExtent b="0" l="0" r="0" t="0"/>
            <wp:docPr descr="Figure 4: “”" title="" id="35" name="Picture"/>
            <a:graphic>
              <a:graphicData uri="http://schemas.openxmlformats.org/drawingml/2006/picture">
                <pic:pic>
                  <pic:nvPicPr>
                    <pic:cNvPr descr="image/scr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9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4: “”</w:t>
      </w:r>
    </w:p>
    <w:bookmarkEnd w:id="37"/>
    <w:p>
      <w:pPr>
        <w:pStyle w:val="BodyText"/>
      </w:pPr>
      <w:r>
        <w:t xml:space="preserve">Настройка Node.js (Рис 5)</w:t>
      </w:r>
    </w:p>
    <w:bookmarkStart w:id="41" w:name="fig:05"/>
    <w:p>
      <w:pPr>
        <w:pStyle w:val="CaptionedFigure"/>
      </w:pPr>
      <w:r>
        <w:drawing>
          <wp:inline>
            <wp:extent cx="3733800" cy="455841"/>
            <wp:effectExtent b="0" l="0" r="0" t="0"/>
            <wp:docPr descr="Figure 5: “”" title="" id="39" name="Picture"/>
            <a:graphic>
              <a:graphicData uri="http://schemas.openxmlformats.org/drawingml/2006/picture">
                <pic:pic>
                  <pic:nvPicPr>
                    <pic:cNvPr descr="image/scr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5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5: “”</w:t>
      </w:r>
    </w:p>
    <w:bookmarkEnd w:id="41"/>
    <w:p>
      <w:pPr>
        <w:pStyle w:val="BodyText"/>
      </w:pPr>
      <w:r>
        <w:t xml:space="preserve">При помощи программы commitizen устанавливаем git-cz (Рис 6)</w:t>
      </w:r>
    </w:p>
    <w:bookmarkStart w:id="45" w:name="fig:06"/>
    <w:p>
      <w:pPr>
        <w:pStyle w:val="CaptionedFigure"/>
      </w:pPr>
      <w:r>
        <w:drawing>
          <wp:inline>
            <wp:extent cx="3733800" cy="1727470"/>
            <wp:effectExtent b="0" l="0" r="0" t="0"/>
            <wp:docPr descr="Figure 6: “”" title="" id="43" name="Picture"/>
            <a:graphic>
              <a:graphicData uri="http://schemas.openxmlformats.org/drawingml/2006/picture">
                <pic:pic>
                  <pic:nvPicPr>
                    <pic:cNvPr descr="image/scr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7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6: “”</w:t>
      </w:r>
    </w:p>
    <w:bookmarkEnd w:id="45"/>
    <w:p>
      <w:pPr>
        <w:pStyle w:val="BodyText"/>
      </w:pPr>
      <w:r>
        <w:t xml:space="preserve">Данная программа используется для помощи в создании логов.(Рис 7)</w:t>
      </w:r>
    </w:p>
    <w:bookmarkStart w:id="49" w:name="fig:07"/>
    <w:p>
      <w:pPr>
        <w:pStyle w:val="CaptionedFigure"/>
      </w:pPr>
      <w:r>
        <w:drawing>
          <wp:inline>
            <wp:extent cx="3733800" cy="562506"/>
            <wp:effectExtent b="0" l="0" r="0" t="0"/>
            <wp:docPr descr="Figure 7: “”" title="" id="47" name="Picture"/>
            <a:graphic>
              <a:graphicData uri="http://schemas.openxmlformats.org/drawingml/2006/picture">
                <pic:pic>
                  <pic:nvPicPr>
                    <pic:cNvPr descr="image/scr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2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7: “”</w:t>
      </w:r>
    </w:p>
    <w:bookmarkEnd w:id="49"/>
    <w:p>
      <w:pPr>
        <w:pStyle w:val="BodyText"/>
      </w:pPr>
      <w:r>
        <w:t xml:space="preserve">Делаем первый коммит и выкладываем на github и он не получается соответственно создаем файл README и инициализируем репозиторий и после делаем первый коммит и выкладываем на гитхаб(рис 8,9)</w:t>
      </w:r>
    </w:p>
    <w:bookmarkStart w:id="53" w:name="fig:08"/>
    <w:p>
      <w:pPr>
        <w:pStyle w:val="CaptionedFigure"/>
      </w:pPr>
      <w:r>
        <w:drawing>
          <wp:inline>
            <wp:extent cx="3733800" cy="500367"/>
            <wp:effectExtent b="0" l="0" r="0" t="0"/>
            <wp:docPr descr="Figure 8: “”" title="" id="51" name="Picture"/>
            <a:graphic>
              <a:graphicData uri="http://schemas.openxmlformats.org/drawingml/2006/picture">
                <pic:pic>
                  <pic:nvPicPr>
                    <pic:cNvPr descr="image/scr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0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8: “”</w:t>
      </w:r>
    </w:p>
    <w:bookmarkEnd w:id="53"/>
    <w:bookmarkStart w:id="57" w:name="fig:09"/>
    <w:p>
      <w:pPr>
        <w:pStyle w:val="CaptionedFigure"/>
      </w:pPr>
      <w:r>
        <w:drawing>
          <wp:inline>
            <wp:extent cx="3733800" cy="1934554"/>
            <wp:effectExtent b="0" l="0" r="0" t="0"/>
            <wp:docPr descr="Figure 9: “”" title="" id="55" name="Picture"/>
            <a:graphic>
              <a:graphicData uri="http://schemas.openxmlformats.org/drawingml/2006/picture">
                <pic:pic>
                  <pic:nvPicPr>
                    <pic:cNvPr descr="image/scr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4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9: “”</w:t>
      </w:r>
    </w:p>
    <w:bookmarkEnd w:id="57"/>
    <w:p>
      <w:pPr>
        <w:pStyle w:val="BodyText"/>
      </w:pPr>
      <w:r>
        <w:t xml:space="preserve">Провожу конфигурацию общепринятых коммитов(Рис 10, 11, 12)</w:t>
      </w:r>
    </w:p>
    <w:bookmarkStart w:id="61" w:name="fig:10"/>
    <w:p>
      <w:pPr>
        <w:pStyle w:val="CaptionedFigure"/>
      </w:pPr>
      <w:r>
        <w:drawing>
          <wp:inline>
            <wp:extent cx="3733800" cy="2243032"/>
            <wp:effectExtent b="0" l="0" r="0" t="0"/>
            <wp:docPr descr="Figure 10: “”" title="" id="59" name="Picture"/>
            <a:graphic>
              <a:graphicData uri="http://schemas.openxmlformats.org/drawingml/2006/picture">
                <pic:pic>
                  <pic:nvPicPr>
                    <pic:cNvPr descr="image/scr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3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10: “”</w:t>
      </w:r>
    </w:p>
    <w:bookmarkEnd w:id="61"/>
    <w:bookmarkStart w:id="65" w:name="fig:11"/>
    <w:p>
      <w:pPr>
        <w:pStyle w:val="CaptionedFigure"/>
      </w:pPr>
      <w:r>
        <w:drawing>
          <wp:inline>
            <wp:extent cx="3733800" cy="2838099"/>
            <wp:effectExtent b="0" l="0" r="0" t="0"/>
            <wp:docPr descr="Figure 11: “”" title="" id="63" name="Picture"/>
            <a:graphic>
              <a:graphicData uri="http://schemas.openxmlformats.org/drawingml/2006/picture">
                <pic:pic>
                  <pic:nvPicPr>
                    <pic:cNvPr descr="image/scr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8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11: “”</w:t>
      </w:r>
    </w:p>
    <w:bookmarkEnd w:id="65"/>
    <w:bookmarkStart w:id="69" w:name="fig:12"/>
    <w:p>
      <w:pPr>
        <w:pStyle w:val="CaptionedFigure"/>
      </w:pPr>
      <w:r>
        <w:drawing>
          <wp:inline>
            <wp:extent cx="3733800" cy="2887664"/>
            <wp:effectExtent b="0" l="0" r="0" t="0"/>
            <wp:docPr descr="Figure 12: “”" title="" id="67" name="Picture"/>
            <a:graphic>
              <a:graphicData uri="http://schemas.openxmlformats.org/drawingml/2006/picture">
                <pic:pic>
                  <pic:nvPicPr>
                    <pic:cNvPr descr="image/scr24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7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12: “”</w:t>
      </w:r>
    </w:p>
    <w:bookmarkEnd w:id="69"/>
    <w:p>
      <w:pPr>
        <w:pStyle w:val="BodyText"/>
      </w:pPr>
      <w:r>
        <w:t xml:space="preserve">Добавляю норвые файлы, коммичу и отправляю на гитхаб(рис. 13)</w:t>
      </w:r>
    </w:p>
    <w:bookmarkStart w:id="73" w:name="fig:13"/>
    <w:p>
      <w:pPr>
        <w:pStyle w:val="CaptionedFigure"/>
      </w:pPr>
      <w:r>
        <w:drawing>
          <wp:inline>
            <wp:extent cx="3733800" cy="2360490"/>
            <wp:effectExtent b="0" l="0" r="0" t="0"/>
            <wp:docPr descr="Figure 13: “”" title="" id="71" name="Picture"/>
            <a:graphic>
              <a:graphicData uri="http://schemas.openxmlformats.org/drawingml/2006/picture">
                <pic:pic>
                  <pic:nvPicPr>
                    <pic:cNvPr descr="image/scr1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0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13: “”</w:t>
      </w:r>
    </w:p>
    <w:bookmarkEnd w:id="73"/>
    <w:p>
      <w:pPr>
        <w:pStyle w:val="BodyText"/>
      </w:pPr>
      <w:r>
        <w:t xml:space="preserve">Инициализируем git-flow, проверяю что на ветке develop (Рис 14)</w:t>
      </w:r>
    </w:p>
    <w:bookmarkStart w:id="77" w:name="fig:14"/>
    <w:p>
      <w:pPr>
        <w:pStyle w:val="CaptionedFigure"/>
      </w:pPr>
      <w:r>
        <w:drawing>
          <wp:inline>
            <wp:extent cx="3733800" cy="1723856"/>
            <wp:effectExtent b="0" l="0" r="0" t="0"/>
            <wp:docPr descr="Figure 14: “”" title="" id="75" name="Picture"/>
            <a:graphic>
              <a:graphicData uri="http://schemas.openxmlformats.org/drawingml/2006/picture">
                <pic:pic>
                  <pic:nvPicPr>
                    <pic:cNvPr descr="image/scr13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3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14: “”</w:t>
      </w:r>
    </w:p>
    <w:bookmarkEnd w:id="77"/>
    <w:p>
      <w:pPr>
        <w:pStyle w:val="BodyText"/>
      </w:pPr>
      <w:r>
        <w:t xml:space="preserve">Загрузите весь репозиторий в хранилище(Рис 15)</w:t>
      </w:r>
    </w:p>
    <w:bookmarkStart w:id="81" w:name="fig:15"/>
    <w:p>
      <w:pPr>
        <w:pStyle w:val="CaptionedFigure"/>
      </w:pPr>
      <w:r>
        <w:drawing>
          <wp:inline>
            <wp:extent cx="3733800" cy="749685"/>
            <wp:effectExtent b="0" l="0" r="0" t="0"/>
            <wp:docPr descr="Figure 15: “”" title="" id="79" name="Picture"/>
            <a:graphic>
              <a:graphicData uri="http://schemas.openxmlformats.org/drawingml/2006/picture">
                <pic:pic>
                  <pic:nvPicPr>
                    <pic:cNvPr descr="image/scr14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9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15: “”</w:t>
      </w:r>
    </w:p>
    <w:bookmarkEnd w:id="81"/>
    <w:p>
      <w:pPr>
        <w:pStyle w:val="BodyText"/>
      </w:pPr>
      <w:r>
        <w:t xml:space="preserve">Устанавливаю внешнюю ветку как вышестоящую(Рис 16)</w:t>
      </w:r>
    </w:p>
    <w:bookmarkStart w:id="85" w:name="fig:16"/>
    <w:p>
      <w:pPr>
        <w:pStyle w:val="CaptionedFigure"/>
      </w:pPr>
      <w:r>
        <w:drawing>
          <wp:inline>
            <wp:extent cx="3733800" cy="411628"/>
            <wp:effectExtent b="0" l="0" r="0" t="0"/>
            <wp:docPr descr="Figure 16: “”" title="" id="83" name="Picture"/>
            <a:graphic>
              <a:graphicData uri="http://schemas.openxmlformats.org/drawingml/2006/picture">
                <pic:pic>
                  <pic:nvPicPr>
                    <pic:cNvPr descr="image/scr15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16: “”</w:t>
      </w:r>
    </w:p>
    <w:bookmarkEnd w:id="85"/>
    <w:p>
      <w:pPr>
        <w:pStyle w:val="BodyText"/>
      </w:pPr>
      <w:r>
        <w:t xml:space="preserve">Создаю релиз с версией start 1.0.0 (Рис 17)</w:t>
      </w:r>
    </w:p>
    <w:bookmarkStart w:id="89" w:name="fig:17"/>
    <w:p>
      <w:pPr>
        <w:pStyle w:val="CaptionedFigure"/>
      </w:pPr>
      <w:r>
        <w:drawing>
          <wp:inline>
            <wp:extent cx="3733800" cy="1321076"/>
            <wp:effectExtent b="0" l="0" r="0" t="0"/>
            <wp:docPr descr="Figure 17: “”" title="" id="87" name="Picture"/>
            <a:graphic>
              <a:graphicData uri="http://schemas.openxmlformats.org/drawingml/2006/picture">
                <pic:pic>
                  <pic:nvPicPr>
                    <pic:cNvPr descr="image/scr16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1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17: “”</w:t>
      </w:r>
    </w:p>
    <w:bookmarkEnd w:id="89"/>
    <w:p>
      <w:pPr>
        <w:pStyle w:val="BodyText"/>
      </w:pPr>
      <w:r>
        <w:t xml:space="preserve">Создаю Журнал изменений и добавляю в меню(Рис 18,19,20,21)</w:t>
      </w:r>
    </w:p>
    <w:bookmarkStart w:id="93" w:name="fig:18"/>
    <w:p>
      <w:pPr>
        <w:pStyle w:val="CaptionedFigure"/>
      </w:pPr>
      <w:r>
        <w:drawing>
          <wp:inline>
            <wp:extent cx="3733800" cy="641633"/>
            <wp:effectExtent b="0" l="0" r="0" t="0"/>
            <wp:docPr descr="Figure 18: “”" title="" id="91" name="Picture"/>
            <a:graphic>
              <a:graphicData uri="http://schemas.openxmlformats.org/drawingml/2006/picture">
                <pic:pic>
                  <pic:nvPicPr>
                    <pic:cNvPr descr="image/scr17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1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18: “”</w:t>
      </w:r>
    </w:p>
    <w:bookmarkEnd w:id="93"/>
    <w:bookmarkStart w:id="97" w:name="fig:19"/>
    <w:p>
      <w:pPr>
        <w:pStyle w:val="CaptionedFigure"/>
      </w:pPr>
      <w:r>
        <w:drawing>
          <wp:inline>
            <wp:extent cx="3733800" cy="2776505"/>
            <wp:effectExtent b="0" l="0" r="0" t="0"/>
            <wp:docPr descr="Figure 19: “”" title="" id="95" name="Picture"/>
            <a:graphic>
              <a:graphicData uri="http://schemas.openxmlformats.org/drawingml/2006/picture">
                <pic:pic>
                  <pic:nvPicPr>
                    <pic:cNvPr descr="image/scr18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6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19: “”</w:t>
      </w:r>
    </w:p>
    <w:bookmarkEnd w:id="97"/>
    <w:bookmarkStart w:id="101" w:name="fig:20"/>
    <w:p>
      <w:pPr>
        <w:pStyle w:val="CaptionedFigure"/>
      </w:pPr>
      <w:r>
        <w:drawing>
          <wp:inline>
            <wp:extent cx="3733800" cy="749685"/>
            <wp:effectExtent b="0" l="0" r="0" t="0"/>
            <wp:docPr descr="Figure 20: “”" title="" id="99" name="Picture"/>
            <a:graphic>
              <a:graphicData uri="http://schemas.openxmlformats.org/drawingml/2006/picture">
                <pic:pic>
                  <pic:nvPicPr>
                    <pic:cNvPr descr="image/scr19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9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20: “”</w:t>
      </w:r>
    </w:p>
    <w:bookmarkEnd w:id="101"/>
    <w:bookmarkStart w:id="105" w:name="fig:21"/>
    <w:p>
      <w:pPr>
        <w:pStyle w:val="CaptionedFigure"/>
      </w:pPr>
      <w:r>
        <w:drawing>
          <wp:inline>
            <wp:extent cx="3733800" cy="2745021"/>
            <wp:effectExtent b="0" l="0" r="0" t="0"/>
            <wp:docPr descr="Figure 21: “”" title="" id="103" name="Picture"/>
            <a:graphic>
              <a:graphicData uri="http://schemas.openxmlformats.org/drawingml/2006/picture">
                <pic:pic>
                  <pic:nvPicPr>
                    <pic:cNvPr descr="image/scr20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5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21: “”</w:t>
      </w:r>
    </w:p>
    <w:bookmarkEnd w:id="105"/>
    <w:p>
      <w:pPr>
        <w:pStyle w:val="BodyText"/>
      </w:pPr>
      <w:r>
        <w:t xml:space="preserve">Заливаем релизную ветку в основную ветку(Рис 22)</w:t>
      </w:r>
    </w:p>
    <w:bookmarkStart w:id="109" w:name="fig:22"/>
    <w:p>
      <w:pPr>
        <w:pStyle w:val="CaptionedFigure"/>
      </w:pPr>
      <w:r>
        <w:drawing>
          <wp:inline>
            <wp:extent cx="3733800" cy="2542557"/>
            <wp:effectExtent b="0" l="0" r="0" t="0"/>
            <wp:docPr descr="Figure 22: “”" title="" id="107" name="Picture"/>
            <a:graphic>
              <a:graphicData uri="http://schemas.openxmlformats.org/drawingml/2006/picture">
                <pic:pic>
                  <pic:nvPicPr>
                    <pic:cNvPr descr="image/scr21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2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22: “”</w:t>
      </w:r>
    </w:p>
    <w:bookmarkEnd w:id="109"/>
    <w:p>
      <w:pPr>
        <w:pStyle w:val="BodyText"/>
      </w:pPr>
      <w:r>
        <w:t xml:space="preserve">Создадим релиз на github. Для этого будем использовать утилиты работы с github(Рис 22)</w:t>
      </w:r>
    </w:p>
    <w:bookmarkStart w:id="113" w:name="fig:23"/>
    <w:p>
      <w:pPr>
        <w:pStyle w:val="CaptionedFigure"/>
      </w:pPr>
      <w:r>
        <w:drawing>
          <wp:inline>
            <wp:extent cx="3733800" cy="1888863"/>
            <wp:effectExtent b="0" l="0" r="0" t="0"/>
            <wp:docPr descr="Figure 23: “”" title="" id="111" name="Picture"/>
            <a:graphic>
              <a:graphicData uri="http://schemas.openxmlformats.org/drawingml/2006/picture">
                <pic:pic>
                  <pic:nvPicPr>
                    <pic:cNvPr descr="image/scr22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8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23: “”</w:t>
      </w:r>
    </w:p>
    <w:bookmarkEnd w:id="113"/>
    <w:p>
      <w:pPr>
        <w:pStyle w:val="BodyText"/>
      </w:pPr>
      <w:r>
        <w:t xml:space="preserve">Создадим ветку для новой функциональности(Рис 23)</w:t>
      </w:r>
    </w:p>
    <w:bookmarkStart w:id="117" w:name="fig:24"/>
    <w:p>
      <w:pPr>
        <w:pStyle w:val="CaptionedFigure"/>
      </w:pPr>
      <w:r>
        <w:drawing>
          <wp:inline>
            <wp:extent cx="3733800" cy="2067838"/>
            <wp:effectExtent b="0" l="0" r="0" t="0"/>
            <wp:docPr descr="Figure 24: “”" title="" id="115" name="Picture"/>
            <a:graphic>
              <a:graphicData uri="http://schemas.openxmlformats.org/drawingml/2006/picture">
                <pic:pic>
                  <pic:nvPicPr>
                    <pic:cNvPr descr="image/scr23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7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24: “”</w:t>
      </w:r>
    </w:p>
    <w:bookmarkEnd w:id="117"/>
    <w:p>
      <w:pPr>
        <w:pStyle w:val="BodyText"/>
      </w:pPr>
      <w:r>
        <w:t xml:space="preserve">Создание релиза git-flow и добавляем журнал изменений в индекс, потом заливаем пклмщную ветку в основную(Рис 24)</w:t>
      </w:r>
    </w:p>
    <w:bookmarkStart w:id="121" w:name="fig:25"/>
    <w:p>
      <w:pPr>
        <w:pStyle w:val="CaptionedFigure"/>
      </w:pPr>
      <w:r>
        <w:drawing>
          <wp:inline>
            <wp:extent cx="3733800" cy="2410197"/>
            <wp:effectExtent b="0" l="0" r="0" t="0"/>
            <wp:docPr descr="Figure 25: “”" title="" id="119" name="Picture"/>
            <a:graphic>
              <a:graphicData uri="http://schemas.openxmlformats.org/drawingml/2006/picture">
                <pic:pic>
                  <pic:nvPicPr>
                    <pic:cNvPr descr="image/scr26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0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25: “”</w:t>
      </w:r>
    </w:p>
    <w:bookmarkEnd w:id="121"/>
    <w:p>
      <w:pPr>
        <w:pStyle w:val="BodyText"/>
      </w:pPr>
      <w:r>
        <w:t xml:space="preserve">Отправляем данные на гитхаб и создаем релиз с комментариями из журнала изменений(Рис 25)</w:t>
      </w:r>
    </w:p>
    <w:bookmarkStart w:id="125" w:name="fig:26"/>
    <w:p>
      <w:pPr>
        <w:pStyle w:val="CaptionedFigure"/>
      </w:pPr>
      <w:r>
        <w:drawing>
          <wp:inline>
            <wp:extent cx="3733800" cy="1901573"/>
            <wp:effectExtent b="0" l="0" r="0" t="0"/>
            <wp:docPr descr="Figure 26: “”" title="" id="123" name="Picture"/>
            <a:graphic>
              <a:graphicData uri="http://schemas.openxmlformats.org/drawingml/2006/picture">
                <pic:pic>
                  <pic:nvPicPr>
                    <pic:cNvPr descr="image/scr27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1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26: “”</w:t>
      </w:r>
    </w:p>
    <w:bookmarkEnd w:id="125"/>
    <w:bookmarkEnd w:id="126"/>
    <w:bookmarkStart w:id="12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Научились структуре гитфлоу и тому как создават, сливать ветки репозитория. Просто установили весь нужный софт.</w:t>
      </w:r>
    </w:p>
    <w:bookmarkEnd w:id="127"/>
    <w:bookmarkStart w:id="129" w:name="список-литературы"/>
    <w:p>
      <w:pPr>
        <w:pStyle w:val="Heading1"/>
      </w:pPr>
      <w:r>
        <w:t xml:space="preserve">Список литературы</w:t>
      </w:r>
    </w:p>
    <w:bookmarkStart w:id="128" w:name="refs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26" Target="media/rId26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66" Target="media/rId66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номер 4</dc:title>
  <dc:creator/>
  <cp:keywords/>
  <dcterms:created xsi:type="dcterms:W3CDTF">2026-03-07T13:38:40Z</dcterms:created>
  <dcterms:modified xsi:type="dcterms:W3CDTF">2026-03-07T13:38:40Z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DisplayTemplate">
    <vt:lpwstr>e</vt:lpwstr>
  </property>
  <property fmtid="{D5CDD505-2E9C-101B-9397-08002B2CF9AE}" pid="17" name="eqnIndexTemplate">
    <vt:lpwstr>(i)</vt:lpwstr>
  </property>
  <property fmtid="{D5CDD505-2E9C-101B-9397-08002B2CF9AE}" pid="18" name="eqnInlineTableTemplate">
    <vt:lpwstr>e</vt:lpwstr>
  </property>
  <property fmtid="{D5CDD505-2E9C-101B-9397-08002B2CF9AE}" pid="19" name="eqnInlineTemplate">
    <vt:lpwstr>eequationNumberTeX{i}</vt:lpwstr>
  </property>
  <property fmtid="{D5CDD505-2E9C-101B-9397-08002B2CF9AE}" pid="20" name="eqnPrefix">
    <vt:lpwstr/>
  </property>
  <property fmtid="{D5CDD505-2E9C-101B-9397-08002B2CF9AE}" pid="21" name="eqnPrefixTemplate">
    <vt:lpwstr>p i</vt:lpwstr>
  </property>
  <property fmtid="{D5CDD505-2E9C-101B-9397-08002B2CF9AE}" pid="22" name="equationNumberTeX">
    <vt:lpwstr>\qquad</vt:lpwstr>
  </property>
  <property fmtid="{D5CDD505-2E9C-101B-9397-08002B2CF9AE}" pid="23" name="figLabels">
    <vt:lpwstr>arabic</vt:lpwstr>
  </property>
  <property fmtid="{D5CDD505-2E9C-101B-9397-08002B2CF9AE}" pid="24" name="figPrefix">
    <vt:lpwstr/>
  </property>
  <property fmtid="{D5CDD505-2E9C-101B-9397-08002B2CF9AE}" pid="25" name="figPrefixTemplate">
    <vt:lpwstr>p i</vt:lpwstr>
  </property>
  <property fmtid="{D5CDD505-2E9C-101B-9397-08002B2CF9AE}" pid="26" name="figureTemplate">
    <vt:lpwstr>figureTitle ititleDelim t</vt:lpwstr>
  </property>
  <property fmtid="{D5CDD505-2E9C-101B-9397-08002B2CF9AE}" pid="27" name="figureTitle">
    <vt:lpwstr>Figure</vt:lpwstr>
  </property>
  <property fmtid="{D5CDD505-2E9C-101B-9397-08002B2CF9AE}" pid="28" name="lastDelim">
    <vt:lpwstr>, </vt:lpwstr>
  </property>
  <property fmtid="{D5CDD505-2E9C-101B-9397-08002B2CF9AE}" pid="29" name="license">
    <vt:lpwstr>CC BY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ingTemplate">
    <vt:lpwstr>listingTitle ititleDelim t</vt:lpwstr>
  </property>
  <property fmtid="{D5CDD505-2E9C-101B-9397-08002B2CF9AE}" pid="33" name="listingTitle">
    <vt:lpwstr>Listing</vt:lpwstr>
  </property>
  <property fmtid="{D5CDD505-2E9C-101B-9397-08002B2CF9AE}" pid="34" name="listings">
    <vt:lpwstr>False</vt:lpwstr>
  </property>
  <property fmtid="{D5CDD505-2E9C-101B-9397-08002B2CF9AE}" pid="35" name="lofItemTemplate">
    <vt:lpwstr>lofItemTitleilistItemTitleDelimt </vt:lpwstr>
  </property>
  <property fmtid="{D5CDD505-2E9C-101B-9397-08002B2CF9AE}" pid="36" name="lofItemTitle">
    <vt:lpwstr/>
  </property>
  <property fmtid="{D5CDD505-2E9C-101B-9397-08002B2CF9AE}" pid="37" name="lofTitle">
    <vt:lpwstr>List of Figures</vt:lpwstr>
  </property>
  <property fmtid="{D5CDD505-2E9C-101B-9397-08002B2CF9AE}" pid="38" name="lolItemTemplate">
    <vt:lpwstr>lolItemTitleilistItemTitleDelimt </vt:lpwstr>
  </property>
  <property fmtid="{D5CDD505-2E9C-101B-9397-08002B2CF9AE}" pid="39" name="lolItemTitle">
    <vt:lpwstr/>
  </property>
  <property fmtid="{D5CDD505-2E9C-101B-9397-08002B2CF9AE}" pid="40" name="lolTitle">
    <vt:lpwstr>List of Listings</vt:lpwstr>
  </property>
  <property fmtid="{D5CDD505-2E9C-101B-9397-08002B2CF9AE}" pid="41" name="lotItemTemplate">
    <vt:lpwstr>lotItemTitleilistItemTitleDelimt </vt:lpwstr>
  </property>
  <property fmtid="{D5CDD505-2E9C-101B-9397-08002B2CF9AE}" pid="42" name="lotItemTitle">
    <vt:lpwstr/>
  </property>
  <property fmtid="{D5CDD505-2E9C-101B-9397-08002B2CF9AE}" pid="43" name="lotTitle">
    <vt:lpwstr>List of Tables</vt:lpwstr>
  </property>
  <property fmtid="{D5CDD505-2E9C-101B-9397-08002B2CF9AE}" pid="44" name="lstLabels">
    <vt:lpwstr>arabic</vt:lpwstr>
  </property>
  <property fmtid="{D5CDD505-2E9C-101B-9397-08002B2CF9AE}" pid="45" name="lstPrefix">
    <vt:lpwstr/>
  </property>
  <property fmtid="{D5CDD505-2E9C-101B-9397-08002B2CF9AE}" pid="46" name="lstPrefixTemplate">
    <vt:lpwstr>p i</vt:lpwstr>
  </property>
  <property fmtid="{D5CDD505-2E9C-101B-9397-08002B2CF9AE}" pid="47" name="nameInLink">
    <vt:lpwstr>False</vt:lpwstr>
  </property>
  <property fmtid="{D5CDD505-2E9C-101B-9397-08002B2CF9AE}" pid="48" name="numberSections">
    <vt:lpwstr>False</vt:lpwstr>
  </property>
  <property fmtid="{D5CDD505-2E9C-101B-9397-08002B2CF9AE}" pid="49" name="pairDelim">
    <vt:lpwstr>, </vt:lpwstr>
  </property>
  <property fmtid="{D5CDD505-2E9C-101B-9397-08002B2CF9AE}" pid="50" name="rangeDelim">
    <vt:lpwstr>-</vt:lpwstr>
  </property>
  <property fmtid="{D5CDD505-2E9C-101B-9397-08002B2CF9AE}" pid="51" name="refDelim">
    <vt:lpwstr>, </vt:lpwstr>
  </property>
  <property fmtid="{D5CDD505-2E9C-101B-9397-08002B2CF9AE}" pid="52" name="refIndexTemplate">
    <vt:lpwstr>isuf</vt:lpwstr>
  </property>
  <property fmtid="{D5CDD505-2E9C-101B-9397-08002B2CF9AE}" pid="53" name="secHeaderDelim">
    <vt:lpwstr> </vt:lpwstr>
  </property>
  <property fmtid="{D5CDD505-2E9C-101B-9397-08002B2CF9AE}" pid="54" name="secHeaderTemplate">
    <vt:lpwstr>isecHeaderDelim[n]t</vt:lpwstr>
  </property>
  <property fmtid="{D5CDD505-2E9C-101B-9397-08002B2CF9AE}" pid="55" name="secLabels">
    <vt:lpwstr>arabic</vt:lpwstr>
  </property>
  <property fmtid="{D5CDD505-2E9C-101B-9397-08002B2CF9AE}" pid="56" name="secPrefix">
    <vt:lpwstr/>
  </property>
  <property fmtid="{D5CDD505-2E9C-101B-9397-08002B2CF9AE}" pid="57" name="secPrefixTemplate">
    <vt:lpwstr>p i</vt:lpwstr>
  </property>
  <property fmtid="{D5CDD505-2E9C-101B-9397-08002B2CF9AE}" pid="58" name="sectionsDepth">
    <vt:lpwstr>0</vt:lpwstr>
  </property>
  <property fmtid="{D5CDD505-2E9C-101B-9397-08002B2CF9AE}" pid="59" name="subfigGrid">
    <vt:lpwstr>False</vt:lpwstr>
  </property>
  <property fmtid="{D5CDD505-2E9C-101B-9397-08002B2CF9AE}" pid="60" name="subfigLabels">
    <vt:lpwstr>alpha a</vt:lpwstr>
  </property>
  <property fmtid="{D5CDD505-2E9C-101B-9397-08002B2CF9AE}" pid="61" name="subfigureChildTemplate">
    <vt:lpwstr>i</vt:lpwstr>
  </property>
  <property fmtid="{D5CDD505-2E9C-101B-9397-08002B2CF9AE}" pid="62" name="subfigureRefIndexTemplate">
    <vt:lpwstr>isuf (s)</vt:lpwstr>
  </property>
  <property fmtid="{D5CDD505-2E9C-101B-9397-08002B2CF9AE}" pid="63" name="subfigureTemplate">
    <vt:lpwstr>figureTitle ititleDelim t. ccs</vt:lpwstr>
  </property>
  <property fmtid="{D5CDD505-2E9C-101B-9397-08002B2CF9AE}" pid="64" name="subtitle">
    <vt:lpwstr>Чистовой вариант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