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abef83d54ffa0a15b8560ab4e0076cedb4822aa"/>
    <w:p>
      <w:pPr>
        <w:pStyle w:val="Heading1"/>
      </w:pPr>
      <w:r>
        <w:t xml:space="preserve">Adaptive Motor Re-Learning: A Wearable Sensor Framework for Upper-Limb Stroke Rehabilitation</w:t>
      </w:r>
    </w:p>
    <w:p>
      <w:pPr>
        <w:pStyle w:val="FirstParagraph"/>
      </w:pPr>
      <w:r>
        <w:rPr>
          <w:b/>
          <w:bCs/>
        </w:rPr>
        <w:t xml:space="preserve">Peter Ohue¹, Gunnar Blohm¹,²</w:t>
      </w:r>
    </w:p>
    <w:p>
      <w:pPr>
        <w:pStyle w:val="BodyText"/>
      </w:pPr>
      <w:r>
        <w:t xml:space="preserve">¹Centre for Neuroscience Studies, Queen’s University, Kingston, ON, Canada</w:t>
      </w:r>
      <w:r>
        <w:t xml:space="preserve"> </w:t>
      </w:r>
      <w:r>
        <w:t xml:space="preserve">²Department of Biomedical and Molecular Sciences, Queen’s University, Kingston, ON, Canada</w:t>
      </w:r>
    </w:p>
    <w:p>
      <w:pPr>
        <w:pStyle w:val="BodyText"/>
      </w:pPr>
      <w:r>
        <w:rPr>
          <w:i/>
          <w:iCs/>
        </w:rPr>
        <w:t xml:space="preserve">Draft — Phase 1 (Abstract / Introduction / Methodology). Results and Discussion to follow in later phases per author’s iterative writeup process.</w:t>
      </w:r>
    </w:p>
    <w:p>
      <w:r>
        <w:pict>
          <v:rect style="width:0;height:1.5pt" o:hralign="center" o:hrstd="t" o:hr="t"/>
        </w:pict>
      </w:r>
    </w:p>
    <w:bookmarkStart w:id="9" w:name="abstract"/>
    <w:p>
      <w:pPr>
        <w:pStyle w:val="Heading2"/>
      </w:pPr>
      <w:r>
        <w:t xml:space="preserve">Abstract</w:t>
      </w:r>
    </w:p>
    <w:p>
      <w:pPr>
        <w:pStyle w:val="FirstParagraph"/>
      </w:pPr>
      <w:r>
        <w:rPr>
          <w:i/>
          <w:iCs/>
        </w:rPr>
        <w:t xml:space="preserve">[To be completed once Results are finalized — target ~200 words summarizing motivation, approach (RL reference trajectories + TRSP comparison + wearable sleeve concept), and key contribution.]</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Stroke, caused by the disruption of blood flow to the brain, affects more than 13 million people worldwide, kills more than 5 million annually, and is a major cause of long-term disability</w:t>
      </w:r>
      <w:r>
        <w:t xml:space="preserve"> </w:t>
      </w:r>
      <w:r>
        <w:t xml:space="preserve">(Lu et al. 2012; Kuriakose and Xiao 2020)</w:t>
      </w:r>
      <w:r>
        <w:t xml:space="preserve">. Motor deficits are one of the most consequential neurological outcomes of stroke, leading to a loss of independence and reduced quality of life</w:t>
      </w:r>
      <w:r>
        <w:t xml:space="preserve"> </w:t>
      </w:r>
      <w:r>
        <w:t xml:space="preserve">(Lucchetti et al. 2025)</w:t>
      </w:r>
      <w:r>
        <w:t xml:space="preserve">. Physical impairments in stroke survivors must be properly diagnosed — including changes in the affected limb’s physical function — before appropriate remediation can be recommended</w:t>
      </w:r>
      <w:r>
        <w:t xml:space="preserve"> </w:t>
      </w:r>
      <w:r>
        <w:t xml:space="preserve">(Gowland et al. 1993; Mehrholz et al. 2015)</w:t>
      </w:r>
      <w:r>
        <w:t xml:space="preserve">.</w:t>
      </w:r>
    </w:p>
    <w:p>
      <w:pPr>
        <w:pStyle w:val="BodyText"/>
      </w:pPr>
      <w:r>
        <w:t xml:space="preserve">Shoulder–arm kinematics and muscular synergies are engaged across at least 30 categories of daily-life tasks, and hand postural synergies play a central role in grasp-force generation</w:t>
      </w:r>
      <w:r>
        <w:t xml:space="preserve"> </w:t>
      </w:r>
      <w:r>
        <w:t xml:space="preserve">(Hu et al. 2018; Averta et al. 2018; Saudabayev et al. 2018)</w:t>
      </w:r>
      <w:r>
        <w:t xml:space="preserve">. Linking forearm muscle activity to hand kinematics is essential for prosthetic design and biomechanical 3-D modelling</w:t>
      </w:r>
      <w:r>
        <w:t xml:space="preserve"> </w:t>
      </w:r>
      <w:r>
        <w:t xml:space="preserve">(Jarque-Bou et al. 2019)</w:t>
      </w:r>
      <w:r>
        <w:t xml:space="preserve">.</w:t>
      </w:r>
    </w:p>
    <w:p>
      <w:pPr>
        <w:pStyle w:val="BodyText"/>
      </w:pPr>
      <w:r>
        <w:t xml:space="preserve">In general, compensation strategies adopted by stroke survivors — recruiting alternative pathways, stronger joints, or unaffected muscles — are frequently inefficient and can reinforce maladaptive movement patterns over time</w:t>
      </w:r>
      <w:r>
        <w:t xml:space="preserve"> </w:t>
      </w:r>
      <w:r>
        <w:t xml:space="preserve">(Dolatabadi et al. 2017)</w:t>
      </w:r>
      <w:r>
        <w:t xml:space="preserve">. Existing rehabilitation devices are also frequently abandoned by their intended users: across assistive-technology categories broadly, abandonment rates are driven by poor fit between device design and the user’s actual needs, insufficient involvement of the user in device selection, and lack of ongoing support after delivery</w:t>
      </w:r>
      <w:r>
        <w:t xml:space="preserve"> </w:t>
      </w:r>
      <w:r>
        <w:t xml:space="preserve">(Sugawara et al. 2018)</w:t>
      </w:r>
      <w:r>
        <w:t xml:space="preserve">. Robotic and electromechanical rehabilitation devices are not exempt from this pattern, and their cost and clinic-based delivery model further limit sustained home use</w:t>
      </w:r>
      <w:r>
        <w:t xml:space="preserve"> </w:t>
      </w:r>
      <w:r>
        <w:t xml:space="preserve">(Mehrholz et al. 2015)</w:t>
      </w:r>
      <w:r>
        <w:t xml:space="preserve">. To address this challenge, we argue that any assistive device for upper-limb stroke rehabilitation should be (i) low-cost and open-hardware, so it can be deployed at home and in community clinics rather than only in specialized centres, and (ii) adaptive, so it can flag emerging compensation strategies in real time rather than relying solely on intermittent clinical supervision.</w:t>
      </w:r>
    </w:p>
    <w:p>
      <w:pPr>
        <w:pStyle w:val="BodyText"/>
      </w:pPr>
      <w:r>
        <w:t xml:space="preserve">Supervision matters because unsupervised device use risks survivors recruiting unaffected muscles and joints in ways that produce undesirable long-term outcomes</w:t>
      </w:r>
      <w:r>
        <w:t xml:space="preserve"> </w:t>
      </w:r>
      <w:r>
        <w:t xml:space="preserve">(Zhi et al. 2018)</w:t>
      </w:r>
      <w:r>
        <w:t xml:space="preserve">. To characterize these compensations, prior work has used healthy participants to simulate three canonical compensation strategies — forward trunk lean, trunk rotation, and shoulder elevation — while performing standardized reaching tasks, producing the Toronto Rehab Stroke Pose (TRSP) dataset used in this study</w:t>
      </w:r>
      <w:r>
        <w:t xml:space="preserve"> </w:t>
      </w:r>
      <w:r>
        <w:t xml:space="preserve">(Zhi et al. 2018; Dolatabadi et al. 2017)</w:t>
      </w:r>
      <w:r>
        <w:t xml:space="preserve">. However, when post-stroke survivors are given home-based rehabilitation programs without this kind of structured supervision, new and undesirable compensation patterns risk emerging, making later unlearning and relearning necessary</w:t>
      </w:r>
      <w:r>
        <w:t xml:space="preserve"> </w:t>
      </w:r>
      <w:r>
        <w:t xml:space="preserve">(Lin et al. 2019)</w:t>
      </w:r>
      <w:r>
        <w:t xml:space="preserve">. Rehabilitation programs should therefore include task-specific training that induces plasticity and drives genuine motor recovery, with individualized strategies helping to identify relevant therapeutic goals and maximize functional gain</w:t>
      </w:r>
      <w:r>
        <w:t xml:space="preserve"> </w:t>
      </w:r>
      <w:r>
        <w:t xml:space="preserve">(Takeuchi and Izumi 2013)</w:t>
      </w:r>
      <w:r>
        <w:t xml:space="preserve">.</w:t>
      </w:r>
    </w:p>
    <w:p>
      <w:pPr>
        <w:pStyle w:val="BodyText"/>
      </w:pPr>
      <w:r>
        <w:t xml:space="preserve">In our companion computational study, we showed that a reward-driven reinforcement learning (RL) controller trained on a reaching-inspired obstacle-avoidance task spontaneously develops internal population representations that parallel several organizational features of biological motor cortex — including compact low-dimensional manifolds, phase-aligned population states, and adaptive trajectory-level correction under perturbation</w:t>
      </w:r>
      <w:r>
        <w:t xml:space="preserve"> </w:t>
      </w:r>
      <w:r>
        <w:t xml:space="preserve">(Ohue et al. 2026)</w:t>
      </w:r>
      <w:r>
        <w:t xml:space="preserve">. That work, together with our broader perspective on building accessible computational-neuroscience tools and curricula</w:t>
      </w:r>
      <w:r>
        <w:t xml:space="preserve"> </w:t>
      </w:r>
      <w:r>
        <w:t xml:space="preserve">(Chinagorom and Ohue 2025)</w:t>
      </w:r>
      <w:r>
        <w:t xml:space="preserve"> </w:t>
      </w:r>
      <w:r>
        <w:t xml:space="preserve">and our open-source Python tooling for computational neuroscience</w:t>
      </w:r>
      <w:r>
        <w:t xml:space="preserve"> </w:t>
      </w:r>
      <w:r>
        <w:t xml:space="preserve">(Ohue 2026)</w:t>
      </w:r>
      <w:r>
        <w:t xml:space="preserve">, motivates the present study’s overarching goal: to develop a user-friendly, adaptive rehabilitation program for upper-limb post-stroke management.</w:t>
      </w:r>
    </w:p>
    <w:p>
      <w:pPr>
        <w:pStyle w:val="BodyText"/>
      </w:pPr>
      <w:r>
        <w:t xml:space="preserve">Specifically, we aim to (1) provide a detailed, quantitative diagnosis of undesirable compensation strategies used by post-stroke patients, by comparing standard reference trajectories generated by our RL controller against the trajectories of both healthy participants (performing simulated compensations) and post-stroke survivors in the TRSP dataset; (2) use this comparison to illustrate parallels between the internal representations of an artificial motor-control policy and biological motor recovery processes</w:t>
      </w:r>
      <w:r>
        <w:t xml:space="preserve"> </w:t>
      </w:r>
      <w:r>
        <w:t xml:space="preserve">(Ohue et al. 2026)</w:t>
      </w:r>
      <w:r>
        <w:t xml:space="preserve">; and (3) lay the groundwork for an adaptive motor-relearning program built around a neuro-inspired wearable assistive device for upper-limb stroke rehabilitation. By pairing open-source control algorithms with low-cost, open-hardware designs, our long-term goal is to build accessible, adaptive wearable devices that help stroke survivors relearn natural movement.</w:t>
      </w:r>
    </w:p>
    <w:p>
      <w:r>
        <w:pict>
          <v:rect style="width:0;height:1.5pt" o:hralign="center" o:hrstd="t" o:hr="t"/>
        </w:pict>
      </w:r>
    </w:p>
    <w:bookmarkEnd w:id="10"/>
    <w:bookmarkStart w:id="17" w:name="methodology"/>
    <w:p>
      <w:pPr>
        <w:pStyle w:val="Heading2"/>
      </w:pPr>
      <w:r>
        <w:t xml:space="preserve">Methodology</w:t>
      </w:r>
    </w:p>
    <w:bookmarkStart w:id="11" w:name="overview"/>
    <w:p>
      <w:pPr>
        <w:pStyle w:val="Heading3"/>
      </w:pPr>
      <w:r>
        <w:t xml:space="preserve">Overview</w:t>
      </w:r>
    </w:p>
    <w:p>
      <w:pPr>
        <w:pStyle w:val="FirstParagraph"/>
      </w:pPr>
      <w:r>
        <w:t xml:space="preserve">This study extends the reinforcement-learning framework and analysis pipeline of our companion paper</w:t>
      </w:r>
      <w:r>
        <w:t xml:space="preserve"> </w:t>
      </w:r>
      <w:r>
        <w:t xml:space="preserve">(Ohue et al. 2026)</w:t>
      </w:r>
      <w:r>
        <w:t xml:space="preserve"> </w:t>
      </w:r>
      <w:r>
        <w:t xml:space="preserve">with (1) a clinically grounded comparison against human reach kinematics from the TRSP dataset</w:t>
      </w:r>
      <w:r>
        <w:t xml:space="preserve"> </w:t>
      </w:r>
      <w:r>
        <w:t xml:space="preserve">(Dolatabadi et al. 2017; Zhi et al. 2018)</w:t>
      </w:r>
      <w:r>
        <w:t xml:space="preserve">, and (2) a proposed wearable sensor architecture for delivering adaptive feedback outside the lab.</w:t>
      </w:r>
    </w:p>
    <w:bookmarkEnd w:id="11"/>
    <w:bookmarkStart w:id="12" w:name="X5bfdf40f861e72b8afb4398e509eeb2fa9f2f65"/>
    <w:p>
      <w:pPr>
        <w:pStyle w:val="Heading3"/>
      </w:pPr>
      <w:r>
        <w:t xml:space="preserve">2.1 Reinforcement-learning reference-trajectory model (inherited from Ohue et al., 2026)</w:t>
      </w:r>
    </w:p>
    <w:p>
      <w:pPr>
        <w:pStyle w:val="FirstParagraph"/>
      </w:pPr>
      <w:r>
        <w:t xml:space="preserve">The RL controller is a Proximal Policy Optimization (PPO) actor-critic agent</w:t>
      </w:r>
      <w:r>
        <w:t xml:space="preserve"> </w:t>
      </w:r>
      <w:r>
        <w:t xml:space="preserve">(Schulman et al. 2017)</w:t>
      </w:r>
      <w:r>
        <w:t xml:space="preserve"> </w:t>
      </w:r>
      <w:r>
        <w:t xml:space="preserve">trained in a 2-D point-mass reaching environment under Newtonian dynamics. The agent’s state</w:t>
      </w:r>
      <w:r>
        <w:t xml:space="preserve"> </w:t>
      </w:r>
      <m:oMath>
        <m:sSub>
          <m:e>
            <m:r>
              <m:rPr>
                <m:sty m:val="b"/>
              </m:rPr>
              <m:t>s</m:t>
            </m:r>
          </m:e>
          <m:sub>
            <m:r>
              <m:t>t</m:t>
            </m:r>
          </m:sub>
        </m:sSub>
        <m:r>
          <m:rPr>
            <m:sty m:val="p"/>
          </m:rPr>
          <m:t>=</m:t>
        </m:r>
        <m:r>
          <m:rPr>
            <m:sty m:val="p"/>
          </m:rPr>
          <m:t>(</m:t>
        </m:r>
        <m:sSub>
          <m:e>
            <m:r>
              <m:t>x</m:t>
            </m:r>
          </m:e>
          <m:sub>
            <m:r>
              <m:t>t</m:t>
            </m:r>
          </m:sub>
        </m:sSub>
        <m:r>
          <m:rPr>
            <m:sty m:val="p"/>
          </m:rPr>
          <m:t>,</m:t>
        </m:r>
        <m:sSub>
          <m:e>
            <m:r>
              <m:t>y</m:t>
            </m:r>
          </m:e>
          <m:sub>
            <m:r>
              <m:t>t</m:t>
            </m:r>
          </m:sub>
        </m:sSub>
        <m:r>
          <m:rPr>
            <m:sty m:val="p"/>
          </m:rPr>
          <m:t>,</m:t>
        </m:r>
        <m:sSub>
          <m:e>
            <m:acc>
              <m:accPr>
                <m:chr m:val="̇"/>
              </m:accPr>
              <m:e>
                <m:r>
                  <m:t>x</m:t>
                </m:r>
              </m:e>
            </m:acc>
          </m:e>
          <m:sub>
            <m:r>
              <m:t>t</m:t>
            </m:r>
          </m:sub>
        </m:sSub>
        <m:r>
          <m:rPr>
            <m:sty m:val="p"/>
          </m:rPr>
          <m:t>,</m:t>
        </m:r>
        <m:sSub>
          <m:e>
            <m:acc>
              <m:accPr>
                <m:chr m:val="̇"/>
              </m:accPr>
              <m:e>
                <m:r>
                  <m:t>y</m:t>
                </m:r>
              </m:e>
            </m:acc>
          </m:e>
          <m:sub>
            <m:r>
              <m:t>t</m:t>
            </m:r>
          </m:sub>
        </m:sSub>
        <m:r>
          <m:rPr>
            <m:sty m:val="p"/>
          </m:rPr>
          <m:t>)</m:t>
        </m:r>
      </m:oMath>
      <w:r>
        <w:t xml:space="preserve"> </w:t>
      </w:r>
      <w:r>
        <w:t xml:space="preserve">evolves under</w:t>
      </w:r>
    </w:p>
    <w:p>
      <w:pPr>
        <w:pStyle w:val="BodyText"/>
      </w:pPr>
      <m:oMathPara>
        <m:oMathParaPr>
          <m:jc m:val="center"/>
        </m:oMathParaPr>
        <m:oMath>
          <m:sSub>
            <m:e>
              <m:acc>
                <m:accPr>
                  <m:chr m:val="̇"/>
                </m:accPr>
                <m:e>
                  <m:r>
                    <m:rPr>
                      <m:sty m:val="b"/>
                    </m:rPr>
                    <m:t>s</m:t>
                  </m:r>
                </m:e>
              </m:acc>
            </m:e>
            <m:sub>
              <m:r>
                <m:t>t</m:t>
              </m:r>
            </m:sub>
          </m:sSub>
          <m:r>
            <m:rPr>
              <m:sty m:val="p"/>
            </m:rPr>
            <m:t>=</m:t>
          </m:r>
          <m:r>
            <m:t>f</m:t>
          </m:r>
          <m:r>
            <m:rPr>
              <m:sty m:val="p"/>
            </m:rPr>
            <m:t>(</m:t>
          </m:r>
          <m:sSub>
            <m:e>
              <m:r>
                <m:rPr>
                  <m:sty m:val="b"/>
                </m:rPr>
                <m:t>s</m:t>
              </m:r>
            </m:e>
            <m:sub>
              <m:r>
                <m:t>t</m:t>
              </m:r>
            </m:sub>
          </m:sSub>
          <m:r>
            <m:rPr>
              <m:sty m:val="p"/>
            </m:rPr>
            <m:t>,</m:t>
          </m:r>
          <m:sSub>
            <m:e>
              <m:r>
                <m:rPr>
                  <m:sty m:val="b"/>
                </m:rPr>
                <m:t>a</m:t>
              </m:r>
            </m:e>
            <m:sub>
              <m:r>
                <m:t>t</m:t>
              </m:r>
            </m:sub>
          </m:sSub>
          <m:r>
            <m:rPr>
              <m:sty m:val="p"/>
            </m:rPr>
            <m:t>)</m:t>
          </m:r>
          <m:r>
            <m:rPr>
              <m:sty m:val="p"/>
            </m:rPr>
            <m:t>=</m:t>
          </m:r>
          <m:d>
            <m:dPr>
              <m:begChr m:val="["/>
              <m:sepChr m:val=""/>
              <m:endChr m:val="]"/>
              <m:grow/>
            </m:dPr>
            <m:e>
              <m:m>
                <m:mPr>
                  <m:baseJc m:val="center"/>
                  <m:plcHide m:val="on"/>
                  <m:mcs>
                    <m:mc>
                      <m:mcPr>
                        <m:mcJc m:val="center"/>
                        <m:count m:val="1"/>
                      </m:mcPr>
                    </m:mc>
                  </m:mcs>
                </m:mPr>
                <m:mr>
                  <m:e>
                    <m:sSub>
                      <m:e>
                        <m:acc>
                          <m:accPr>
                            <m:chr m:val="̇"/>
                          </m:accPr>
                          <m:e>
                            <m:r>
                              <m:t>x</m:t>
                            </m:r>
                          </m:e>
                        </m:acc>
                      </m:e>
                      <m:sub>
                        <m:r>
                          <m:t>t</m:t>
                        </m:r>
                      </m:sub>
                    </m:sSub>
                  </m:e>
                </m:mr>
                <m:mr>
                  <m:e>
                    <m:sSub>
                      <m:e>
                        <m:acc>
                          <m:accPr>
                            <m:chr m:val="̇"/>
                          </m:accPr>
                          <m:e>
                            <m:r>
                              <m:t>y</m:t>
                            </m:r>
                          </m:e>
                        </m:acc>
                      </m:e>
                      <m:sub>
                        <m:r>
                          <m:t>t</m:t>
                        </m:r>
                      </m:sub>
                    </m:sSub>
                  </m:e>
                </m:mr>
                <m:mr>
                  <m:e>
                    <m:f>
                      <m:fPr>
                        <m:type m:val="lin"/>
                      </m:fPr>
                      <m:num>
                        <m:r>
                          <m:t>1</m:t>
                        </m:r>
                      </m:num>
                      <m:den>
                        <m:r>
                          <m:t>m</m:t>
                        </m:r>
                      </m:den>
                    </m:f>
                    <m:d>
                      <m:dPr>
                        <m:begChr m:val="("/>
                        <m:sepChr m:val=""/>
                        <m:endChr m:val=")"/>
                        <m:grow/>
                      </m:dPr>
                      <m:e>
                        <m:sSub>
                          <m:e>
                            <m:r>
                              <m:t>F</m:t>
                            </m:r>
                          </m:e>
                          <m:sub>
                            <m:r>
                              <m:t>x</m:t>
                            </m:r>
                          </m:sub>
                        </m:sSub>
                        <m:r>
                          <m:rPr>
                            <m:sty m:val="p"/>
                          </m:rPr>
                          <m:t>(</m:t>
                        </m:r>
                        <m:sSub>
                          <m:e>
                            <m:r>
                              <m:rPr>
                                <m:sty m:val="b"/>
                              </m:rPr>
                              <m:t>a</m:t>
                            </m:r>
                          </m:e>
                          <m:sub>
                            <m:r>
                              <m:t>t</m:t>
                            </m:r>
                          </m:sub>
                        </m:sSub>
                        <m:r>
                          <m:rPr>
                            <m:sty m:val="p"/>
                          </m:rPr>
                          <m:t>)</m:t>
                        </m:r>
                        <m:r>
                          <m:rPr>
                            <m:sty m:val="p"/>
                          </m:rPr>
                          <m:t>+</m:t>
                        </m:r>
                        <m:sSubSup>
                          <m:e>
                            <m:r>
                              <m:t>F</m:t>
                            </m:r>
                          </m:e>
                          <m:sub>
                            <m:r>
                              <m:t>x</m:t>
                            </m:r>
                          </m:sub>
                          <m:sup>
                            <m:r>
                              <m:rPr>
                                <m:nor/>
                                <m:sty m:val="p"/>
                              </m:rPr>
                              <m:t>pert</m:t>
                            </m:r>
                          </m:sup>
                        </m:sSubSup>
                        <m:r>
                          <m:rPr>
                            <m:sty m:val="p"/>
                          </m:rPr>
                          <m:t>(</m:t>
                        </m:r>
                        <m:r>
                          <m:t>t</m:t>
                        </m:r>
                        <m:r>
                          <m:rPr>
                            <m:sty m:val="p"/>
                          </m:rPr>
                          <m:t>)</m:t>
                        </m:r>
                      </m:e>
                    </m:d>
                  </m:e>
                </m:mr>
                <m:mr>
                  <m:e>
                    <m:f>
                      <m:fPr>
                        <m:type m:val="lin"/>
                      </m:fPr>
                      <m:num>
                        <m:r>
                          <m:t>1</m:t>
                        </m:r>
                      </m:num>
                      <m:den>
                        <m:r>
                          <m:t>m</m:t>
                        </m:r>
                      </m:den>
                    </m:f>
                    <m:d>
                      <m:dPr>
                        <m:begChr m:val="("/>
                        <m:sepChr m:val=""/>
                        <m:endChr m:val=")"/>
                        <m:grow/>
                      </m:dPr>
                      <m:e>
                        <m:sSub>
                          <m:e>
                            <m:r>
                              <m:t>F</m:t>
                            </m:r>
                          </m:e>
                          <m:sub>
                            <m:r>
                              <m:t>y</m:t>
                            </m:r>
                          </m:sub>
                        </m:sSub>
                        <m:r>
                          <m:rPr>
                            <m:sty m:val="p"/>
                          </m:rPr>
                          <m:t>(</m:t>
                        </m:r>
                        <m:sSub>
                          <m:e>
                            <m:r>
                              <m:rPr>
                                <m:sty m:val="b"/>
                              </m:rPr>
                              <m:t>a</m:t>
                            </m:r>
                          </m:e>
                          <m:sub>
                            <m:r>
                              <m:t>t</m:t>
                            </m:r>
                          </m:sub>
                        </m:sSub>
                        <m:r>
                          <m:rPr>
                            <m:sty m:val="p"/>
                          </m:rPr>
                          <m:t>)</m:t>
                        </m:r>
                        <m:r>
                          <m:rPr>
                            <m:sty m:val="p"/>
                          </m:rPr>
                          <m:t>+</m:t>
                        </m:r>
                        <m:sSubSup>
                          <m:e>
                            <m:r>
                              <m:t>F</m:t>
                            </m:r>
                          </m:e>
                          <m:sub>
                            <m:r>
                              <m:t>y</m:t>
                            </m:r>
                          </m:sub>
                          <m:sup>
                            <m:r>
                              <m:rPr>
                                <m:nor/>
                                <m:sty m:val="p"/>
                              </m:rPr>
                              <m:t>pert</m:t>
                            </m:r>
                          </m:sup>
                        </m:sSubSup>
                        <m:r>
                          <m:rPr>
                            <m:sty m:val="p"/>
                          </m:rPr>
                          <m:t>(</m:t>
                        </m:r>
                        <m:r>
                          <m:t>t</m:t>
                        </m:r>
                        <m:r>
                          <m:rPr>
                            <m:sty m:val="p"/>
                          </m:rPr>
                          <m:t>)</m:t>
                        </m:r>
                      </m:e>
                    </m:d>
                  </m:e>
                </m:mr>
              </m:m>
            </m:e>
          </m:d>
          <m:r>
            <m:rPr>
              <m:sty m:val="p"/>
            </m:rPr>
            <m:t>,</m:t>
          </m:r>
        </m:oMath>
      </m:oMathPara>
    </w:p>
    <w:p>
      <w:pPr>
        <w:pStyle w:val="FirstParagraph"/>
      </w:pPr>
      <w:r>
        <w:t xml:space="preserve">where</w:t>
      </w:r>
      <w:r>
        <w:t xml:space="preserve"> </w:t>
      </w:r>
      <m:oMath>
        <m:sSub>
          <m:e>
            <m:r>
              <m:rPr>
                <m:sty m:val="b"/>
              </m:rPr>
              <m:t>a</m:t>
            </m:r>
          </m:e>
          <m:sub>
            <m:r>
              <m:t>t</m:t>
            </m:r>
          </m:sub>
        </m:sSub>
      </m:oMath>
      <w:r>
        <w:t xml:space="preserve"> </w:t>
      </w:r>
      <w:r>
        <w:t xml:space="preserve">is the policy’s continuous control action,</w:t>
      </w:r>
      <w:r>
        <w:t xml:space="preserve"> </w:t>
      </w:r>
      <m:oMath>
        <m:r>
          <m:t>m</m:t>
        </m:r>
      </m:oMath>
      <w:r>
        <w:t xml:space="preserve"> </w:t>
      </w:r>
      <w:r>
        <w:t xml:space="preserve">is point-mass, and</w:t>
      </w:r>
      <w:r>
        <w:t xml:space="preserve"> </w:t>
      </w:r>
      <m:oMath>
        <m:sSup>
          <m:e>
            <m:r>
              <m:t>F</m:t>
            </m:r>
          </m:e>
          <m:sup>
            <m:r>
              <m:rPr>
                <m:nor/>
                <m:sty m:val="p"/>
              </m:rPr>
              <m:t>pert</m:t>
            </m:r>
          </m:sup>
        </m:sSup>
        <m:r>
          <m:rPr>
            <m:sty m:val="p"/>
          </m:rPr>
          <m:t>(</m:t>
        </m:r>
        <m:r>
          <m:t>t</m:t>
        </m:r>
        <m:r>
          <m:rPr>
            <m:sty m:val="p"/>
          </m:rPr>
          <m:t>)</m:t>
        </m:r>
      </m:oMath>
      <w:r>
        <w:t xml:space="preserve"> </w:t>
      </w:r>
      <w:r>
        <w:t xml:space="preserve">is a graded lateral force impulse applied during a fixed perturbation window (used in the companion paper to probe adaptive correction). The policy</w:t>
      </w:r>
      <w:r>
        <w:t xml:space="preserve"> </w:t>
      </w:r>
      <m:oMath>
        <m:sSub>
          <m:e>
            <m:r>
              <m:t>π</m:t>
            </m:r>
          </m:e>
          <m:sub>
            <m:r>
              <m:t>θ</m:t>
            </m:r>
          </m:sub>
        </m:sSub>
        <m:r>
          <m:rPr>
            <m:sty m:val="p"/>
          </m:rPr>
          <m:t>(</m:t>
        </m:r>
        <m:sSub>
          <m:e>
            <m:r>
              <m:rPr>
                <m:sty m:val="b"/>
              </m:rPr>
              <m:t>a</m:t>
            </m:r>
          </m:e>
          <m:sub>
            <m:r>
              <m:t>t</m:t>
            </m:r>
          </m:sub>
        </m:sSub>
        <m:r>
          <m:rPr>
            <m:sty m:val="p"/>
          </m:rPr>
          <m:t>∣</m:t>
        </m:r>
        <m:sSub>
          <m:e>
            <m:r>
              <m:rPr>
                <m:sty m:val="b"/>
              </m:rPr>
              <m:t>s</m:t>
            </m:r>
          </m:e>
          <m:sub>
            <m:r>
              <m:t>t</m:t>
            </m:r>
          </m:sub>
        </m:sSub>
        <m:r>
          <m:rPr>
            <m:sty m:val="p"/>
          </m:rPr>
          <m:t>)</m:t>
        </m:r>
      </m:oMath>
      <w:r>
        <w:t xml:space="preserve"> </w:t>
      </w:r>
      <w:r>
        <w:t xml:space="preserve">and value function</w:t>
      </w:r>
      <w:r>
        <w:t xml:space="preserve"> </w:t>
      </w:r>
      <m:oMath>
        <m:sSub>
          <m:e>
            <m:r>
              <m:t>V</m:t>
            </m:r>
          </m:e>
          <m:sub>
            <m:r>
              <m:t>ϕ</m:t>
            </m:r>
          </m:sub>
        </m:sSub>
        <m:r>
          <m:rPr>
            <m:sty m:val="p"/>
          </m:rPr>
          <m:t>(</m:t>
        </m:r>
        <m:sSub>
          <m:e>
            <m:r>
              <m:rPr>
                <m:sty m:val="b"/>
              </m:rPr>
              <m:t>s</m:t>
            </m:r>
          </m:e>
          <m:sub>
            <m:r>
              <m:t>t</m:t>
            </m:r>
          </m:sub>
        </m:sSub>
        <m:r>
          <m:rPr>
            <m:sty m:val="p"/>
          </m:rPr>
          <m:t>)</m:t>
        </m:r>
      </m:oMath>
      <w:r>
        <w:t xml:space="preserve"> </w:t>
      </w:r>
      <w:r>
        <w:t xml:space="preserve">are two-hidden-layer (256-unit) feedforward networks trained to maximize expected discounted reward via the clipped PPO surrogate objective</w:t>
      </w:r>
    </w:p>
    <w:p>
      <w:pPr>
        <w:pStyle w:val="BodyText"/>
      </w:pPr>
      <m:oMathPara>
        <m:oMathParaPr>
          <m:jc m:val="center"/>
        </m:oMathParaPr>
        <m:oMath>
          <m:sSup>
            <m:e>
              <m:r>
                <m:t>L</m:t>
              </m:r>
            </m:e>
            <m:sup>
              <m:r>
                <m:rPr>
                  <m:nor/>
                  <m:sty m:val="p"/>
                </m:rPr>
                <m:t>CLIP</m:t>
              </m:r>
            </m:sup>
          </m:sSup>
          <m:r>
            <m:rPr>
              <m:sty m:val="p"/>
            </m:rPr>
            <m:t>(</m:t>
          </m:r>
          <m:r>
            <m:t>θ</m:t>
          </m:r>
          <m:r>
            <m:rPr>
              <m:sty m:val="p"/>
            </m:rPr>
            <m:t>)</m:t>
          </m:r>
          <m:r>
            <m:rPr>
              <m:sty m:val="p"/>
            </m:rPr>
            <m:t>=</m:t>
          </m:r>
          <m:sSub>
            <m:e>
              <m:acc>
                <m:accPr>
                  <m:chr m:val="̂"/>
                </m:accPr>
                <m:e>
                  <m:r>
                    <m:rPr>
                      <m:scr m:val="double-struck"/>
                      <m:sty m:val="p"/>
                    </m:rPr>
                    <m:t>E</m:t>
                  </m:r>
                </m:e>
              </m:acc>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r>
            <m:rPr>
              <m:sty m:val="p"/>
            </m:rPr>
            <m:t>,</m:t>
          </m:r>
          <m:r>
            <m:t>  </m:t>
          </m:r>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rPr>
                      <m:sty m:val="b"/>
                    </m:rPr>
                    <m:t>a</m:t>
                  </m:r>
                </m:e>
                <m:sub>
                  <m:r>
                    <m:t>t</m:t>
                  </m:r>
                </m:sub>
              </m:sSub>
              <m:r>
                <m:rPr>
                  <m:sty m:val="p"/>
                </m:rPr>
                <m:t>∣</m:t>
              </m:r>
              <m:sSub>
                <m:e>
                  <m:r>
                    <m:rPr>
                      <m:sty m:val="b"/>
                    </m:rPr>
                    <m:t>s</m:t>
                  </m:r>
                </m:e>
                <m:sub>
                  <m:r>
                    <m:t>t</m:t>
                  </m:r>
                </m:sub>
              </m:sSub>
              <m:r>
                <m:rPr>
                  <m:sty m:val="p"/>
                </m:rPr>
                <m:t>)</m:t>
              </m:r>
            </m:num>
            <m:den>
              <m:sSub>
                <m:e>
                  <m:r>
                    <m:t>π</m:t>
                  </m:r>
                </m:e>
                <m:sub>
                  <m:sSub>
                    <m:e>
                      <m:r>
                        <m:t>θ</m:t>
                      </m:r>
                    </m:e>
                    <m:sub>
                      <m:r>
                        <m:rPr>
                          <m:nor/>
                          <m:sty m:val="p"/>
                        </m:rPr>
                        <m:t>old</m:t>
                      </m:r>
                    </m:sub>
                  </m:sSub>
                </m:sub>
              </m:sSub>
              <m:r>
                <m:rPr>
                  <m:sty m:val="p"/>
                </m:rPr>
                <m:t>(</m:t>
              </m:r>
              <m:sSub>
                <m:e>
                  <m:r>
                    <m:rPr>
                      <m:sty m:val="b"/>
                    </m:rPr>
                    <m:t>a</m:t>
                  </m:r>
                </m:e>
                <m:sub>
                  <m:r>
                    <m:t>t</m:t>
                  </m:r>
                </m:sub>
              </m:sSub>
              <m:r>
                <m:rPr>
                  <m:sty m:val="p"/>
                </m:rPr>
                <m:t>∣</m:t>
              </m:r>
              <m:sSub>
                <m:e>
                  <m:r>
                    <m:rPr>
                      <m:sty m:val="b"/>
                    </m:rPr>
                    <m:t>s</m:t>
                  </m:r>
                </m:e>
                <m:sub>
                  <m:r>
                    <m:t>t</m:t>
                  </m:r>
                </m:sub>
              </m:sSub>
              <m:r>
                <m:rPr>
                  <m:sty m:val="p"/>
                </m:rPr>
                <m:t>)</m:t>
              </m:r>
            </m:den>
          </m:f>
          <m:r>
            <m:rPr>
              <m:sty m:val="p"/>
            </m:rPr>
            <m:t>.</m:t>
          </m:r>
        </m:oMath>
      </m:oMathPara>
    </w:p>
    <w:p>
      <w:pPr>
        <w:pStyle w:val="FirstParagraph"/>
      </w:pPr>
      <w:r>
        <w:t xml:space="preserve">In this project, the trained policy’s rollout trajectories under each perturbation condition (P0 control; L1–L3, R1–R3 graded lateral perturbations) serve as</w:t>
      </w:r>
      <w:r>
        <w:t xml:space="preserve"> </w:t>
      </w:r>
      <w:r>
        <w:rPr>
          <w:b/>
          <w:bCs/>
        </w:rPr>
        <w:t xml:space="preserve">reference trajectories</w:t>
      </w:r>
      <w:r>
        <w:t xml:space="preserve">: task-optimal, unconstrained-anatomy movement paths against which human reach geometry can be compared for evidence of compensation.</w:t>
      </w:r>
    </w:p>
    <w:bookmarkEnd w:id="12"/>
    <w:bookmarkStart w:id="13" w:name="X9a3ec27538c44f4c462eaf866d62cdedfe729d5"/>
    <w:p>
      <w:pPr>
        <w:pStyle w:val="Heading3"/>
      </w:pPr>
      <w:r>
        <w:t xml:space="preserve">2.2 Human reach-kinematics data (Toronto Rehab Stroke Pose dataset)</w:t>
      </w:r>
    </w:p>
    <w:p>
      <w:pPr>
        <w:pStyle w:val="FirstParagraph"/>
      </w:pPr>
      <w:r>
        <w:t xml:space="preserve">We use the TRSP dataset</w:t>
      </w:r>
      <w:r>
        <w:t xml:space="preserve"> </w:t>
      </w:r>
      <w:r>
        <w:t xml:space="preserve">(Dolatabadi et al. 2017; Zhi et al. 2018)</w:t>
      </w:r>
      <w:r>
        <w:t xml:space="preserve">, comprising Kinect-derived 3-D joint-position time series (25-joint skeleton, recorded at consistent frame rate) for:</w:t>
      </w:r>
    </w:p>
    <w:p>
      <w:pPr>
        <w:pStyle w:val="Compact"/>
        <w:numPr>
          <w:ilvl w:val="0"/>
          <w:numId w:val="1001"/>
        </w:numPr>
      </w:pPr>
      <w:r>
        <w:rPr>
          <w:b/>
          <w:bCs/>
        </w:rPr>
        <w:t xml:space="preserve">10 healthy participants (H01–H10)</w:t>
      </w:r>
      <w:r>
        <w:t xml:space="preserve"> </w:t>
      </w:r>
      <w:r>
        <w:t xml:space="preserve">performing standardized forward/backward and side-to-side reaches, each repeated under a natural (non-compensated) condition and under three simulated compensation strategies: forward trunk lean (</w:t>
      </w:r>
      <w:r>
        <w:rPr>
          <w:rStyle w:val="VerbatimChar"/>
        </w:rPr>
        <w:t xml:space="preserve">LnFwr</w:t>
      </w:r>
      <w:r>
        <w:t xml:space="preserve">), shoulder elevation (</w:t>
      </w:r>
      <w:r>
        <w:rPr>
          <w:rStyle w:val="VerbatimChar"/>
        </w:rPr>
        <w:t xml:space="preserve">ShElev</w:t>
      </w:r>
      <w:r>
        <w:t xml:space="preserve">), and trunk rotation (</w:t>
      </w:r>
      <w:r>
        <w:rPr>
          <w:rStyle w:val="VerbatimChar"/>
        </w:rPr>
        <w:t xml:space="preserve">TrRot</w:t>
      </w:r>
      <w:r>
        <w:t xml:space="preserve">), each to the left and/or right (</w:t>
      </w:r>
      <w:r>
        <w:rPr>
          <w:rStyle w:val="VerbatimChar"/>
        </w:rPr>
        <w:t xml:space="preserve">_L</w:t>
      </w:r>
      <w:r>
        <w:t xml:space="preserve">/</w:t>
      </w:r>
      <w:r>
        <w:rPr>
          <w:rStyle w:val="VerbatimChar"/>
        </w:rPr>
        <w:t xml:space="preserve">_R</w:t>
      </w:r>
      <w:r>
        <w:t xml:space="preserve">).</w:t>
      </w:r>
    </w:p>
    <w:p>
      <w:pPr>
        <w:pStyle w:val="Compact"/>
        <w:numPr>
          <w:ilvl w:val="0"/>
          <w:numId w:val="1001"/>
        </w:numPr>
      </w:pPr>
      <w:r>
        <w:rPr>
          <w:b/>
          <w:bCs/>
        </w:rPr>
        <w:t xml:space="preserve">9 post-stroke participants (P01–P09)</w:t>
      </w:r>
      <w:r>
        <w:t xml:space="preserve"> </w:t>
      </w:r>
      <w:r>
        <w:t xml:space="preserve">performing the same reach tasks without instructed compensation, i.e. producing whatever compensation strategy (if any) they naturally adopt.</w:t>
      </w:r>
    </w:p>
    <w:p>
      <w:pPr>
        <w:pStyle w:val="FirstParagraph"/>
      </w:pPr>
      <w:r>
        <w:t xml:space="preserve">Each trial directory contains</w:t>
      </w:r>
      <w:r>
        <w:t xml:space="preserve"> </w:t>
      </w:r>
      <w:r>
        <w:rPr>
          <w:rStyle w:val="VerbatimChar"/>
        </w:rPr>
        <w:t xml:space="preserve">Joint_Positions.csv</w:t>
      </w:r>
      <w:r>
        <w:t xml:space="preserve"> </w:t>
      </w:r>
      <w:r>
        <w:t xml:space="preserve">(25 joints × 3 coordinates, stacked frame-by-frame) and</w:t>
      </w:r>
      <w:r>
        <w:t xml:space="preserve"> </w:t>
      </w:r>
      <w:r>
        <w:rPr>
          <w:rStyle w:val="VerbatimChar"/>
        </w:rPr>
        <w:t xml:space="preserve">Labels.csv</w:t>
      </w:r>
      <w:r>
        <w:t xml:space="preserve"> </w:t>
      </w:r>
      <w:r>
        <w:t xml:space="preserve">(one compensation/phase label per frame). See</w:t>
      </w:r>
      <w:r>
        <w:t xml:space="preserve"> </w:t>
      </w:r>
      <w:r>
        <w:rPr>
          <w:rStyle w:val="VerbatimChar"/>
        </w:rPr>
        <w:t xml:space="preserve">data/raw/README.md</w:t>
      </w:r>
      <w:r>
        <w:t xml:space="preserve"> </w:t>
      </w:r>
      <w:r>
        <w:t xml:space="preserve">for the verified file schema.</w:t>
      </w:r>
    </w:p>
    <w:bookmarkEnd w:id="13"/>
    <w:bookmarkStart w:id="14" w:name="Xbee6053dbb1a694dafb233b3f0228112f62e0e8"/>
    <w:p>
      <w:pPr>
        <w:pStyle w:val="Heading3"/>
      </w:pPr>
      <w:r>
        <w:t xml:space="preserve">2.3 Trajectory alignment and compensation quantification</w:t>
      </w:r>
    </w:p>
    <w:p>
      <w:pPr>
        <w:pStyle w:val="FirstParagraph"/>
      </w:pPr>
      <w:r>
        <w:rPr>
          <w:i/>
          <w:iCs/>
        </w:rPr>
        <w:t xml:space="preserve">[Planned, not yet implemented]</w:t>
      </w:r>
      <w:r>
        <w:t xml:space="preserve"> </w:t>
      </w:r>
      <w:r>
        <w:t xml:space="preserve">Human shoulder–elbow–wrist joint trajectories will be projected onto the same 2-D reach-plane convention as the RL environment (Section 2.1), time-normalized per trial, and compared against the matching-condition RL reference trajectory using: (i) path-length and lateral-deviation metrics consistent with the trajectory analysis already implemented in</w:t>
      </w:r>
      <w:r>
        <w:t xml:space="preserve"> </w:t>
      </w:r>
      <w:r>
        <w:rPr>
          <w:rStyle w:val="VerbatimChar"/>
        </w:rPr>
        <w:t xml:space="preserve">analysis/behavioural/</w:t>
      </w:r>
      <w:r>
        <w:t xml:space="preserve">; (ii) explicit compensation features — trunk rotation angle, shoulder elevation, and forward lean — following the automatic detection approach of Zhi et al. (2018); and (iii) the PCA/decoding pipeline from the companion paper</w:t>
      </w:r>
      <w:r>
        <w:t xml:space="preserve"> </w:t>
      </w:r>
      <w:r>
        <w:t xml:space="preserve">(Ohue et al. 2026)</w:t>
      </w:r>
      <w:r>
        <w:t xml:space="preserve">, applied here to human kinematic features rather than RL hidden-layer activity, to test whether compensation strategies form separable low-dimensional clusters analogous to the RL controller’s phase-aligned latent states.</w:t>
      </w:r>
    </w:p>
    <w:bookmarkEnd w:id="14"/>
    <w:bookmarkStart w:id="15" w:name="Xac48333fe8e2859e3cd624b4810a0384f27c4c6"/>
    <w:p>
      <w:pPr>
        <w:pStyle w:val="Heading3"/>
      </w:pPr>
      <w:r>
        <w:t xml:space="preserve">2.4 Wearable sensor framework (proposed architecture)</w:t>
      </w:r>
    </w:p>
    <w:p>
      <w:pPr>
        <w:pStyle w:val="FirstParagraph"/>
      </w:pPr>
      <w:r>
        <w:rPr>
          <w:i/>
          <w:iCs/>
        </w:rPr>
        <w:t xml:space="preserve">[Design phase]</w:t>
      </w:r>
      <w:r>
        <w:t xml:space="preserve"> </w:t>
      </w:r>
      <w:r>
        <w:t xml:space="preserve">We propose a low-cost, open-hardware motorized arm sleeve instrumented with inertial measurement units (IMU) at the upper arm, forearm, and trunk, to estimate the same compensation features in real time outside the lab. Sensor-derived joint angles will be compared continuously against the RL-generated reference trajectory for the corresponding reach task, with deviations beyond a clinician-set tolerance triggering real-time feedback — extending the real-time visual-feedback approach shown to reduce compensatory motion in home-based exercise</w:t>
      </w:r>
      <w:r>
        <w:t xml:space="preserve"> </w:t>
      </w:r>
      <w:r>
        <w:t xml:space="preserve">(Lin et al. 2019)</w:t>
      </w:r>
      <w:r>
        <w:t xml:space="preserve"> </w:t>
      </w:r>
      <w:r>
        <w:t xml:space="preserve">to a continuously adaptive, model-based reference rather than a fixed target.</w:t>
      </w:r>
    </w:p>
    <w:bookmarkEnd w:id="15"/>
    <w:bookmarkStart w:id="16" w:name="core-innovation-and-project-vision"/>
    <w:p>
      <w:pPr>
        <w:pStyle w:val="Heading3"/>
      </w:pPr>
      <w:r>
        <w:t xml:space="preserve">Core innovation and project vision</w:t>
      </w:r>
    </w:p>
    <w:p>
      <w:pPr>
        <w:pStyle w:val="Compact"/>
        <w:numPr>
          <w:ilvl w:val="0"/>
          <w:numId w:val="1002"/>
        </w:numPr>
      </w:pPr>
      <w:r>
        <w:t xml:space="preserve">An open-access RL motor-control framework (PPO agent) modelling sensorimotor adaptation, obstacle avoidance, and unlearning/relearning dynamics relevant to stroke recovery</w:t>
      </w:r>
      <w:r>
        <w:t xml:space="preserve"> </w:t>
      </w:r>
      <w:r>
        <w:t xml:space="preserve">(Ohue et al. 2026)</w:t>
      </w:r>
      <w:r>
        <w:t xml:space="preserve">.</w:t>
      </w:r>
    </w:p>
    <w:p>
      <w:pPr>
        <w:pStyle w:val="Compact"/>
        <w:numPr>
          <w:ilvl w:val="0"/>
          <w:numId w:val="1002"/>
        </w:numPr>
      </w:pPr>
      <w:r>
        <w:t xml:space="preserve">A low-cost, open-spec motorized arm sleeve for home recovery and community clinics, pairing smart open-source software with affordable hardware as an alternative/complement to expensive proprietary devices</w:t>
      </w:r>
      <w:r>
        <w:t xml:space="preserve"> </w:t>
      </w:r>
      <w:r>
        <w:t xml:space="preserve">(Sugawara et al. 2018)</w:t>
      </w:r>
      <w:r>
        <w:t xml:space="preserve">.</w:t>
      </w:r>
    </w:p>
    <w:p>
      <w:pPr>
        <w:pStyle w:val="Compact"/>
        <w:numPr>
          <w:ilvl w:val="0"/>
          <w:numId w:val="1002"/>
        </w:numPr>
      </w:pPr>
      <w:r>
        <w:t xml:space="preserve">A longer-term path to extend these open-source models to lower-limb assistive devices, aiming to reduce device abandonment and support natural gait dynamics more broadly.</w:t>
      </w:r>
    </w:p>
    <w:p>
      <w:r>
        <w:pict>
          <v:rect style="width:0;height:1.5pt" o:hralign="center" o:hrstd="t" o:hr="t"/>
        </w:pict>
      </w:r>
    </w:p>
    <w:bookmarkEnd w:id="16"/>
    <w:bookmarkEnd w:id="17"/>
    <w:bookmarkStart w:id="18" w:name="results"/>
    <w:p>
      <w:pPr>
        <w:pStyle w:val="Heading2"/>
      </w:pPr>
      <w:r>
        <w:t xml:space="preserve">Results</w:t>
      </w:r>
    </w:p>
    <w:p>
      <w:pPr>
        <w:pStyle w:val="FirstParagraph"/>
      </w:pPr>
      <w:r>
        <w:rPr>
          <w:i/>
          <w:iCs/>
        </w:rPr>
        <w:t xml:space="preserve">[Phase 2 — to be added.]</w:t>
      </w:r>
    </w:p>
    <w:bookmarkEnd w:id="18"/>
    <w:bookmarkStart w:id="19" w:name="discussion"/>
    <w:p>
      <w:pPr>
        <w:pStyle w:val="Heading2"/>
      </w:pPr>
      <w:r>
        <w:t xml:space="preserve">Discussion</w:t>
      </w:r>
    </w:p>
    <w:p>
      <w:pPr>
        <w:pStyle w:val="FirstParagraph"/>
      </w:pPr>
      <w:r>
        <w:rPr>
          <w:i/>
          <w:iCs/>
        </w:rPr>
        <w:t xml:space="preserve">[Phase 2 — to be added.]</w:t>
      </w:r>
    </w:p>
    <w:bookmarkEnd w:id="19"/>
    <w:bookmarkStart w:id="20" w:name="acknowledgements"/>
    <w:p>
      <w:pPr>
        <w:pStyle w:val="Heading2"/>
      </w:pPr>
      <w:r>
        <w:t xml:space="preserve">Acknowledgements</w:t>
      </w:r>
    </w:p>
    <w:p>
      <w:pPr>
        <w:pStyle w:val="FirstParagraph"/>
      </w:pPr>
      <w:r>
        <w:t xml:space="preserve">This work was supported in part by the Connected Minds Program, Canada First Research Excellence Fund, Grant No. CFREF-2022-00010.</w:t>
      </w:r>
    </w:p>
    <w:bookmarkEnd w:id="20"/>
    <w:bookmarkStart w:id="55" w:name="references"/>
    <w:p>
      <w:pPr>
        <w:pStyle w:val="Heading2"/>
      </w:pPr>
      <w:r>
        <w:t xml:space="preserve">References</w:t>
      </w:r>
    </w:p>
    <w:p>
      <w:pPr>
        <w:pStyle w:val="FirstParagraph"/>
      </w:pPr>
      <w:r>
        <w:t xml:space="preserve">See</w:t>
      </w:r>
      <w:r>
        <w:t xml:space="preserve"> </w:t>
      </w:r>
      <w:r>
        <w:rPr>
          <w:rStyle w:val="VerbatimChar"/>
        </w:rPr>
        <w:t xml:space="preserve">paper/references.bib</w:t>
      </w:r>
      <w:r>
        <w:t xml:space="preserve">. Citation keys used above (e.g. </w:t>
      </w:r>
      <w:r>
        <w:rPr>
          <w:rStyle w:val="VerbatimChar"/>
        </w:rPr>
        <w:t xml:space="preserve">[@Ohue2026]</w:t>
      </w:r>
      <w:r>
        <w:t xml:space="preserve">) follow standard pandoc/BibTeX</w:t>
      </w:r>
      <w:r>
        <w:t xml:space="preserve"> </w:t>
      </w:r>
      <w:r>
        <w:rPr>
          <w:rStyle w:val="VerbatimChar"/>
        </w:rPr>
        <w:t xml:space="preserve">@key</w:t>
      </w:r>
      <w:r>
        <w:t xml:space="preserve"> </w:t>
      </w:r>
      <w:r>
        <w:t xml:space="preserve">notation and should be converted to</w:t>
      </w:r>
      <w:r>
        <w:t xml:space="preserve"> </w:t>
      </w:r>
      <w:r>
        <w:rPr>
          <w:rStyle w:val="VerbatimChar"/>
        </w:rPr>
        <w:t xml:space="preserve">\cite{key}</w:t>
      </w:r>
      <w:r>
        <w:t xml:space="preserve"> </w:t>
      </w:r>
      <w:r>
        <w:t xml:space="preserve">if/when this draft moves to the LaTeX template inherited from paper 1.</w:t>
      </w:r>
    </w:p>
    <w:bookmarkStart w:id="54" w:name="refs"/>
    <w:bookmarkStart w:id="22" w:name="ref-Averta2018"/>
    <w:p>
      <w:pPr>
        <w:pStyle w:val="Bibliography"/>
      </w:pPr>
      <w:r>
        <w:t xml:space="preserve">Averta, Giuseppe, Federica Angelini, Antonio Bicchi, Matteo Bianchi, and Edoardo Battaglia. 2018.</w:t>
      </w:r>
      <w:r>
        <w:t xml:space="preserve"> </w:t>
      </w:r>
      <w:r>
        <w:t xml:space="preserve">“On the Role of Postural Synergies for Grasp Force Generation and Upper Limb Motion Control.”</w:t>
      </w:r>
      <w:r>
        <w:t xml:space="preserve"> </w:t>
      </w:r>
      <w:r>
        <w:t xml:space="preserve">In</w:t>
      </w:r>
      <w:r>
        <w:t xml:space="preserve"> </w:t>
      </w:r>
      <w:r>
        <w:rPr>
          <w:i/>
          <w:iCs/>
        </w:rPr>
        <w:t xml:space="preserve">Converging Clinical and Engineering Research on Neurorehabilitation III</w:t>
      </w:r>
      <w:r>
        <w:t xml:space="preserve">. Springer.</w:t>
      </w:r>
      <w:r>
        <w:t xml:space="preserve"> </w:t>
      </w:r>
      <w:hyperlink r:id="rId21">
        <w:r>
          <w:rPr>
            <w:rStyle w:val="Hyperlink"/>
          </w:rPr>
          <w:t xml:space="preserve">https://doi.org/10.1007/978-3-030-01845-0_69</w:t>
        </w:r>
      </w:hyperlink>
      <w:r>
        <w:t xml:space="preserve">.</w:t>
      </w:r>
    </w:p>
    <w:bookmarkEnd w:id="22"/>
    <w:bookmarkStart w:id="24" w:name="ref-Chinagorom2025"/>
    <w:p>
      <w:pPr>
        <w:pStyle w:val="Bibliography"/>
      </w:pPr>
      <w:r>
        <w:t xml:space="preserve">Chinagorom, Ibeachu P., and Peter Oseghale Ohue. 2025.</w:t>
      </w:r>
      <w:r>
        <w:t xml:space="preserve"> </w:t>
      </w:r>
      <w:r>
        <w:t xml:space="preserve">“Integrating Computational Neuroscience into Africa’s Academic Curriculum: Challenges, Opportunities, and Strategic Implementation.”</w:t>
      </w:r>
      <w:r>
        <w:t xml:space="preserve"> </w:t>
      </w:r>
      <w:r>
        <w:rPr>
          <w:i/>
          <w:iCs/>
        </w:rPr>
        <w:t xml:space="preserve">Journal of Computational Neuroscience</w:t>
      </w:r>
      <w:r>
        <w:t xml:space="preserve"> </w:t>
      </w:r>
      <w:r>
        <w:t xml:space="preserve">53 (3): 393–95.</w:t>
      </w:r>
      <w:r>
        <w:t xml:space="preserve"> </w:t>
      </w:r>
      <w:hyperlink r:id="rId23">
        <w:r>
          <w:rPr>
            <w:rStyle w:val="Hyperlink"/>
          </w:rPr>
          <w:t xml:space="preserve">https://doi.org/10.1007/s10827-025-00906-5</w:t>
        </w:r>
      </w:hyperlink>
      <w:r>
        <w:t xml:space="preserve">.</w:t>
      </w:r>
    </w:p>
    <w:bookmarkEnd w:id="24"/>
    <w:bookmarkStart w:id="26" w:name="ref-Dolatabadi2017"/>
    <w:p>
      <w:pPr>
        <w:pStyle w:val="Bibliography"/>
      </w:pPr>
      <w:r>
        <w:t xml:space="preserve">Dolatabadi, Elham, Ying Xiao Zhi, Michael Lukasik, Michelle H. Li, Rosalie H. Wang, and Babak Taati. 2017.</w:t>
      </w:r>
      <w:r>
        <w:t xml:space="preserve"> </w:t>
      </w:r>
      <w:r>
        <w:t xml:space="preserve">“The Toronto Rehab Stroke Pose Dataset to Detect Compensation During Stroke Rehabilitation Therapy.”</w:t>
      </w:r>
      <w:r>
        <w:t xml:space="preserve"> </w:t>
      </w:r>
      <w:r>
        <w:rPr>
          <w:i/>
          <w:iCs/>
        </w:rPr>
        <w:t xml:space="preserve">Proceedings of the 19th ACM International Conference on Multimodal Interaction</w:t>
      </w:r>
      <w:r>
        <w:t xml:space="preserve">, 477–81.</w:t>
      </w:r>
      <w:r>
        <w:t xml:space="preserve"> </w:t>
      </w:r>
      <w:hyperlink r:id="rId25">
        <w:r>
          <w:rPr>
            <w:rStyle w:val="Hyperlink"/>
          </w:rPr>
          <w:t xml:space="preserve">https://doi.org/10.1145/3136755.3136817</w:t>
        </w:r>
      </w:hyperlink>
      <w:r>
        <w:t xml:space="preserve">.</w:t>
      </w:r>
    </w:p>
    <w:bookmarkEnd w:id="26"/>
    <w:bookmarkStart w:id="28" w:name="ref-Gowland1993"/>
    <w:p>
      <w:pPr>
        <w:pStyle w:val="Bibliography"/>
      </w:pPr>
      <w:r>
        <w:t xml:space="preserve">Gowland, Carolyn, Paul Stratford, Maureen Ward, et al. 1993.</w:t>
      </w:r>
      <w:r>
        <w:t xml:space="preserve"> </w:t>
      </w:r>
      <w:r>
        <w:t xml:space="preserve">“Measuring Physical Impairment and Disability with the Chedoke-McMaster Stroke Assessment.”</w:t>
      </w:r>
      <w:r>
        <w:t xml:space="preserve"> </w:t>
      </w:r>
      <w:r>
        <w:rPr>
          <w:i/>
          <w:iCs/>
        </w:rPr>
        <w:t xml:space="preserve">Stroke</w:t>
      </w:r>
      <w:r>
        <w:t xml:space="preserve"> </w:t>
      </w:r>
      <w:r>
        <w:t xml:space="preserve">24 (1): 58–63.</w:t>
      </w:r>
      <w:r>
        <w:t xml:space="preserve"> </w:t>
      </w:r>
      <w:hyperlink r:id="rId27">
        <w:r>
          <w:rPr>
            <w:rStyle w:val="Hyperlink"/>
          </w:rPr>
          <w:t xml:space="preserve">https://doi.org/10.1161/01.STR.24.1.58</w:t>
        </w:r>
      </w:hyperlink>
      <w:r>
        <w:t xml:space="preserve">.</w:t>
      </w:r>
    </w:p>
    <w:bookmarkEnd w:id="28"/>
    <w:bookmarkStart w:id="30" w:name="ref-Hu2018"/>
    <w:p>
      <w:pPr>
        <w:pStyle w:val="Bibliography"/>
      </w:pPr>
      <w:r>
        <w:t xml:space="preserve">Hu, Tianyu, Jasmin Kuehn, and Sami Haddadin. 2018.</w:t>
      </w:r>
      <w:r>
        <w:t xml:space="preserve"> </w:t>
      </w:r>
      <w:r>
        <w:t xml:space="preserve">“Identification of Human Shoulder-Arm Kinematic and Muscular Synergies During Daily-Life Manipulation Tasks.”</w:t>
      </w:r>
      <w:r>
        <w:t xml:space="preserve"> </w:t>
      </w:r>
      <w:r>
        <w:rPr>
          <w:i/>
          <w:iCs/>
        </w:rPr>
        <w:t xml:space="preserve">2018 7th IEEE International Conference on Biomedical Robotics and Biomechatronics (Biorob)</w:t>
      </w:r>
      <w:r>
        <w:t xml:space="preserve">, 1011–18.</w:t>
      </w:r>
      <w:r>
        <w:t xml:space="preserve"> </w:t>
      </w:r>
      <w:hyperlink r:id="rId29">
        <w:r>
          <w:rPr>
            <w:rStyle w:val="Hyperlink"/>
          </w:rPr>
          <w:t xml:space="preserve">https://doi.org/10.1109/BIOROB.2018.8487190</w:t>
        </w:r>
      </w:hyperlink>
      <w:r>
        <w:t xml:space="preserve">.</w:t>
      </w:r>
    </w:p>
    <w:bookmarkEnd w:id="30"/>
    <w:bookmarkStart w:id="32" w:name="ref-JarqueBou2019"/>
    <w:p>
      <w:pPr>
        <w:pStyle w:val="Bibliography"/>
      </w:pPr>
      <w:r>
        <w:t xml:space="preserve">Jarque-Bou, Néstor J., Margarita Vergara, Joaquín L. Sancho-Bru, Verónica Gracia-Ibáñez, Alba Roda-Sales, and Christina A. Sheets-Hamilton. 2019.</w:t>
      </w:r>
      <w:r>
        <w:t xml:space="preserve"> </w:t>
      </w:r>
      <w:r>
        <w:t xml:space="preserve">“A Calibrated Database of Kinematics and EMG of the Forearm and Hand During Activities of Daily Living.”</w:t>
      </w:r>
      <w:r>
        <w:t xml:space="preserve"> </w:t>
      </w:r>
      <w:r>
        <w:rPr>
          <w:i/>
          <w:iCs/>
        </w:rPr>
        <w:t xml:space="preserve">Scientific Data</w:t>
      </w:r>
      <w:r>
        <w:t xml:space="preserve"> </w:t>
      </w:r>
      <w:r>
        <w:t xml:space="preserve">6: 270.</w:t>
      </w:r>
      <w:r>
        <w:t xml:space="preserve"> </w:t>
      </w:r>
      <w:hyperlink r:id="rId31">
        <w:r>
          <w:rPr>
            <w:rStyle w:val="Hyperlink"/>
          </w:rPr>
          <w:t xml:space="preserve">https://doi.org/10.1038/s41597-019-0285-1</w:t>
        </w:r>
      </w:hyperlink>
      <w:r>
        <w:t xml:space="preserve">.</w:t>
      </w:r>
    </w:p>
    <w:bookmarkEnd w:id="32"/>
    <w:bookmarkStart w:id="34" w:name="ref-Kuriakose2020"/>
    <w:p>
      <w:pPr>
        <w:pStyle w:val="Bibliography"/>
      </w:pPr>
      <w:r>
        <w:t xml:space="preserve">Kuriakose, Deepak, and Zhicheng Xiao. 2020.</w:t>
      </w:r>
      <w:r>
        <w:t xml:space="preserve"> </w:t>
      </w:r>
      <w:r>
        <w:t xml:space="preserve">“Pathophysiology and Treatment of Stroke: Present Status and Future Perspectives.”</w:t>
      </w:r>
      <w:r>
        <w:t xml:space="preserve"> </w:t>
      </w:r>
      <w:r>
        <w:rPr>
          <w:i/>
          <w:iCs/>
        </w:rPr>
        <w:t xml:space="preserve">International Journal of Molecular Sciences</w:t>
      </w:r>
      <w:r>
        <w:t xml:space="preserve"> </w:t>
      </w:r>
      <w:r>
        <w:t xml:space="preserve">21 (20): 7609.</w:t>
      </w:r>
      <w:r>
        <w:t xml:space="preserve"> </w:t>
      </w:r>
      <w:hyperlink r:id="rId33">
        <w:r>
          <w:rPr>
            <w:rStyle w:val="Hyperlink"/>
          </w:rPr>
          <w:t xml:space="preserve">https://doi.org/10.3390/ijms21207609</w:t>
        </w:r>
      </w:hyperlink>
      <w:r>
        <w:t xml:space="preserve">.</w:t>
      </w:r>
    </w:p>
    <w:bookmarkEnd w:id="34"/>
    <w:bookmarkStart w:id="36" w:name="ref-Lin2019"/>
    <w:p>
      <w:pPr>
        <w:pStyle w:val="Bibliography"/>
      </w:pPr>
      <w:r>
        <w:t xml:space="preserve">Lin, Sarah, Jack Mann, Avril Mansfield, Rosalie H. Wang, Jocelyn E. Harris, and Babak Taati. 2019.</w:t>
      </w:r>
      <w:r>
        <w:t xml:space="preserve"> </w:t>
      </w:r>
      <w:r>
        <w:t xml:space="preserve">“Investigating the Feasibility and Acceptability of Real-Time Visual Feedback in Reducing Compensatory Motions During Self-Administered Stroke Rehabilitation Exercises: A Pilot Study with Chronic Stroke Survivors.”</w:t>
      </w:r>
      <w:r>
        <w:t xml:space="preserve"> </w:t>
      </w:r>
      <w:r>
        <w:rPr>
          <w:i/>
          <w:iCs/>
        </w:rPr>
        <w:t xml:space="preserve">Journal of Rehabilitation and Assistive Technologies Engineering</w:t>
      </w:r>
      <w:r>
        <w:t xml:space="preserve"> </w:t>
      </w:r>
      <w:r>
        <w:t xml:space="preserve">6: 2055668319831631.</w:t>
      </w:r>
      <w:r>
        <w:t xml:space="preserve"> </w:t>
      </w:r>
      <w:hyperlink r:id="rId35">
        <w:r>
          <w:rPr>
            <w:rStyle w:val="Hyperlink"/>
          </w:rPr>
          <w:t xml:space="preserve">https://doi.org/10.1177/2055668319831631</w:t>
        </w:r>
      </w:hyperlink>
      <w:r>
        <w:t xml:space="preserve">.</w:t>
      </w:r>
    </w:p>
    <w:bookmarkEnd w:id="36"/>
    <w:bookmarkStart w:id="38" w:name="ref-Lu2012"/>
    <w:p>
      <w:pPr>
        <w:pStyle w:val="Bibliography"/>
      </w:pPr>
      <w:r>
        <w:t xml:space="preserve">Lu, Edward C., Rosalie Wang, Rajibul Huq, et al. 2012.</w:t>
      </w:r>
      <w:r>
        <w:t xml:space="preserve"> </w:t>
      </w:r>
      <w:r>
        <w:t xml:space="preserve">“Development of a Robotic Device for Upper Limb Stroke Rehabilitation: A User-Centered Design Approach.”</w:t>
      </w:r>
      <w:r>
        <w:t xml:space="preserve"> </w:t>
      </w:r>
      <w:r>
        <w:rPr>
          <w:i/>
          <w:iCs/>
        </w:rPr>
        <w:t xml:space="preserve">Paladyn, Journal of Behavioral Robotics</w:t>
      </w:r>
      <w:r>
        <w:t xml:space="preserve"> </w:t>
      </w:r>
      <w:r>
        <w:t xml:space="preserve">2 (4): 176–84.</w:t>
      </w:r>
      <w:r>
        <w:t xml:space="preserve"> </w:t>
      </w:r>
      <w:hyperlink r:id="rId37">
        <w:r>
          <w:rPr>
            <w:rStyle w:val="Hyperlink"/>
          </w:rPr>
          <w:t xml:space="preserve">https://doi.org/10.2478/s13230-012-0009-2</w:t>
        </w:r>
      </w:hyperlink>
      <w:r>
        <w:t xml:space="preserve">.</w:t>
      </w:r>
    </w:p>
    <w:bookmarkEnd w:id="38"/>
    <w:bookmarkStart w:id="40" w:name="ref-Lucchetti2025"/>
    <w:p>
      <w:pPr>
        <w:pStyle w:val="Bibliography"/>
      </w:pPr>
      <w:r>
        <w:t xml:space="preserve">Lucchetti, Federica, Guglielmo Bailo, Monia Cabinio, et al. 2025.</w:t>
      </w:r>
      <w:r>
        <w:t xml:space="preserve"> </w:t>
      </w:r>
      <w:r>
        <w:t xml:space="preserve">“A Kinematic and EMG Dataset for Upper Limb and Hand Movement Analysis in Post-Stroke and Healthy Subjects.”</w:t>
      </w:r>
      <w:r>
        <w:t xml:space="preserve"> </w:t>
      </w:r>
      <w:r>
        <w:rPr>
          <w:i/>
          <w:iCs/>
        </w:rPr>
        <w:t xml:space="preserve">Scientific Data</w:t>
      </w:r>
      <w:r>
        <w:t xml:space="preserve"> </w:t>
      </w:r>
      <w:r>
        <w:t xml:space="preserve">12 (1): 949.</w:t>
      </w:r>
      <w:r>
        <w:t xml:space="preserve"> </w:t>
      </w:r>
      <w:hyperlink r:id="rId39">
        <w:r>
          <w:rPr>
            <w:rStyle w:val="Hyperlink"/>
          </w:rPr>
          <w:t xml:space="preserve">https://doi.org/10.1038/s41597-025-05186-8</w:t>
        </w:r>
      </w:hyperlink>
      <w:r>
        <w:t xml:space="preserve">.</w:t>
      </w:r>
    </w:p>
    <w:bookmarkEnd w:id="40"/>
    <w:bookmarkStart w:id="42" w:name="ref-Mehrholz2015"/>
    <w:p>
      <w:pPr>
        <w:pStyle w:val="Bibliography"/>
      </w:pPr>
      <w:r>
        <w:t xml:space="preserve">Mehrholz, Jan, Marcus Pohl, Thomas Platz, Joachim Kugler, and Bernhard Elsner. 2015.</w:t>
      </w:r>
      <w:r>
        <w:t xml:space="preserve"> </w:t>
      </w:r>
      <w:r>
        <w:t xml:space="preserve">“Electromechanical and Robot-Assisted Arm Training for Improving Activities of Daily Living, Arm Function, and Arm Muscle Strength After Stroke.”</w:t>
      </w:r>
      <w:r>
        <w:t xml:space="preserve"> </w:t>
      </w:r>
      <w:r>
        <w:rPr>
          <w:i/>
          <w:iCs/>
        </w:rPr>
        <w:t xml:space="preserve">Cochrane Database of Systematic Reviews</w:t>
      </w:r>
      <w:r>
        <w:t xml:space="preserve">, no. 11: CD006876.</w:t>
      </w:r>
      <w:r>
        <w:t xml:space="preserve"> </w:t>
      </w:r>
      <w:hyperlink r:id="rId41">
        <w:r>
          <w:rPr>
            <w:rStyle w:val="Hyperlink"/>
          </w:rPr>
          <w:t xml:space="preserve">https://doi.org/10.1002/14651858.CD006876.pub4</w:t>
        </w:r>
      </w:hyperlink>
      <w:r>
        <w:t xml:space="preserve">.</w:t>
      </w:r>
    </w:p>
    <w:bookmarkEnd w:id="42"/>
    <w:bookmarkStart w:id="43" w:name="ref-OhuePythonUnpub"/>
    <w:p>
      <w:pPr>
        <w:pStyle w:val="Bibliography"/>
      </w:pPr>
      <w:r>
        <w:t xml:space="preserve">Ohue, Peter. 2026.</w:t>
      </w:r>
      <w:r>
        <w:t xml:space="preserve"> </w:t>
      </w:r>
      <w:r>
        <w:rPr>
          <w:i/>
          <w:iCs/>
        </w:rPr>
        <w:t xml:space="preserve">Python for Computational Neuroscience</w:t>
      </w:r>
      <w:r>
        <w:t xml:space="preserve">.</w:t>
      </w:r>
    </w:p>
    <w:bookmarkEnd w:id="43"/>
    <w:bookmarkStart w:id="44" w:name="ref-Ohue2026"/>
    <w:p>
      <w:pPr>
        <w:pStyle w:val="Bibliography"/>
      </w:pPr>
      <w:r>
        <w:t xml:space="preserve">Ohue, Peter, Emily Oby, and Gunnar Blohm. 2026.</w:t>
      </w:r>
      <w:r>
        <w:t xml:space="preserve"> </w:t>
      </w:r>
      <w:r>
        <w:rPr>
          <w:i/>
          <w:iCs/>
        </w:rPr>
        <w:t xml:space="preserve">Neural Population Dynamics Reveal Internal Representations Underlying Adaptive Obstacle Avoidance in Reinforcement Learning</w:t>
      </w:r>
      <w:r>
        <w:t xml:space="preserve">.</w:t>
      </w:r>
    </w:p>
    <w:bookmarkEnd w:id="44"/>
    <w:bookmarkStart w:id="46" w:name="ref-Saudabayev2018"/>
    <w:p>
      <w:pPr>
        <w:pStyle w:val="Bibliography"/>
      </w:pPr>
      <w:r>
        <w:t xml:space="preserve">Saudabayev, Artur, Zhanibek Rysbek, Raykhan Khassenova, and Huseyin Atakan Varol. 2018.</w:t>
      </w:r>
      <w:r>
        <w:t xml:space="preserve"> </w:t>
      </w:r>
      <w:r>
        <w:t xml:space="preserve">“Human Grasping Database for Activities of Daily Living with Depth, Color and Kinematic Data Streams.”</w:t>
      </w:r>
      <w:r>
        <w:t xml:space="preserve"> </w:t>
      </w:r>
      <w:r>
        <w:rPr>
          <w:i/>
          <w:iCs/>
        </w:rPr>
        <w:t xml:space="preserve">Scientific Data</w:t>
      </w:r>
      <w:r>
        <w:t xml:space="preserve"> </w:t>
      </w:r>
      <w:r>
        <w:t xml:space="preserve">5: 180101.</w:t>
      </w:r>
      <w:r>
        <w:t xml:space="preserve"> </w:t>
      </w:r>
      <w:hyperlink r:id="rId45">
        <w:r>
          <w:rPr>
            <w:rStyle w:val="Hyperlink"/>
          </w:rPr>
          <w:t xml:space="preserve">https://doi.org/10.1038/sdata.2018.101</w:t>
        </w:r>
      </w:hyperlink>
      <w:r>
        <w:t xml:space="preserve">.</w:t>
      </w:r>
    </w:p>
    <w:bookmarkEnd w:id="46"/>
    <w:bookmarkStart w:id="47"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p>
    <w:bookmarkEnd w:id="47"/>
    <w:bookmarkStart w:id="49" w:name="ref-Sugawara2018"/>
    <w:p>
      <w:pPr>
        <w:pStyle w:val="Bibliography"/>
      </w:pPr>
      <w:r>
        <w:t xml:space="preserve">Sugawara, André T., Vinícius D. Ramos, Fábio M. Alfieri, and Linamara R. Battistella. 2018.</w:t>
      </w:r>
      <w:r>
        <w:t xml:space="preserve"> </w:t>
      </w:r>
      <w:r>
        <w:t xml:space="preserve">“Abandonment of Assistive Products: Assessing Abandonment Levels and Factors That Impact on It.”</w:t>
      </w:r>
      <w:r>
        <w:t xml:space="preserve"> </w:t>
      </w:r>
      <w:r>
        <w:rPr>
          <w:i/>
          <w:iCs/>
        </w:rPr>
        <w:t xml:space="preserve">Disability and Rehabilitation: Assistive Technology</w:t>
      </w:r>
      <w:r>
        <w:t xml:space="preserve"> </w:t>
      </w:r>
      <w:r>
        <w:t xml:space="preserve">13 (7): 716–23.</w:t>
      </w:r>
      <w:r>
        <w:t xml:space="preserve"> </w:t>
      </w:r>
      <w:hyperlink r:id="rId48">
        <w:r>
          <w:rPr>
            <w:rStyle w:val="Hyperlink"/>
          </w:rPr>
          <w:t xml:space="preserve">https://doi.org/10.1080/17483107.2018.1425748</w:t>
        </w:r>
      </w:hyperlink>
      <w:r>
        <w:t xml:space="preserve">.</w:t>
      </w:r>
    </w:p>
    <w:bookmarkEnd w:id="49"/>
    <w:bookmarkStart w:id="51" w:name="ref-Takeuchi2013"/>
    <w:p>
      <w:pPr>
        <w:pStyle w:val="Bibliography"/>
      </w:pPr>
      <w:r>
        <w:t xml:space="preserve">Takeuchi, Naoyuki, and Shin-Ichi Izumi. 2013.</w:t>
      </w:r>
      <w:r>
        <w:t xml:space="preserve"> </w:t>
      </w:r>
      <w:r>
        <w:t xml:space="preserve">“Rehabilitation with Poststroke Motor Recovery: A Review with a Focus on Neural Plasticity.”</w:t>
      </w:r>
      <w:r>
        <w:t xml:space="preserve"> </w:t>
      </w:r>
      <w:r>
        <w:rPr>
          <w:i/>
          <w:iCs/>
        </w:rPr>
        <w:t xml:space="preserve">Stroke Research and Treatment</w:t>
      </w:r>
      <w:r>
        <w:t xml:space="preserve"> </w:t>
      </w:r>
      <w:r>
        <w:t xml:space="preserve">2013: 128641.</w:t>
      </w:r>
      <w:r>
        <w:t xml:space="preserve"> </w:t>
      </w:r>
      <w:hyperlink r:id="rId50">
        <w:r>
          <w:rPr>
            <w:rStyle w:val="Hyperlink"/>
          </w:rPr>
          <w:t xml:space="preserve">https://doi.org/10.1155/2013/128641</w:t>
        </w:r>
      </w:hyperlink>
      <w:r>
        <w:t xml:space="preserve">.</w:t>
      </w:r>
    </w:p>
    <w:bookmarkEnd w:id="51"/>
    <w:bookmarkStart w:id="53" w:name="ref-Zhi2018"/>
    <w:p>
      <w:pPr>
        <w:pStyle w:val="Bibliography"/>
      </w:pPr>
      <w:r>
        <w:t xml:space="preserve">Zhi, Ying Xiao, Michael Lukasik, Michelle H. Li, Elham Dolatabadi, Rosalie H. Wang, and Babak Taati. 2018.</w:t>
      </w:r>
      <w:r>
        <w:t xml:space="preserve"> </w:t>
      </w:r>
      <w:r>
        <w:t xml:space="preserve">“Automatic Detection of Compensation During Robotic Stroke Rehabilitation Therapy.”</w:t>
      </w:r>
      <w:r>
        <w:t xml:space="preserve"> </w:t>
      </w:r>
      <w:r>
        <w:rPr>
          <w:i/>
          <w:iCs/>
        </w:rPr>
        <w:t xml:space="preserve">IEEE Journal of Translational Engineering in Health and Medicine</w:t>
      </w:r>
      <w:r>
        <w:t xml:space="preserve"> </w:t>
      </w:r>
      <w:r>
        <w:t xml:space="preserve">6: 1–10.</w:t>
      </w:r>
      <w:r>
        <w:t xml:space="preserve"> </w:t>
      </w:r>
      <w:hyperlink r:id="rId52">
        <w:r>
          <w:rPr>
            <w:rStyle w:val="Hyperlink"/>
          </w:rPr>
          <w:t xml:space="preserve">https://doi.org/10.1109/JTEHM.2017.2780836</w:t>
        </w:r>
      </w:hyperlink>
      <w:r>
        <w:t xml:space="preserve">.</w:t>
      </w:r>
    </w:p>
    <w:bookmarkEnd w:id="53"/>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i.org/10.1002/14651858.CD006876.pub4" TargetMode="External" /><Relationship Type="http://schemas.openxmlformats.org/officeDocument/2006/relationships/hyperlink" Id="rId21" Target="https://doi.org/10.1007/978-3-030-01845-0_69" TargetMode="External" /><Relationship Type="http://schemas.openxmlformats.org/officeDocument/2006/relationships/hyperlink" Id="rId23" Target="https://doi.org/10.1007/s10827-025-00906-5" TargetMode="External" /><Relationship Type="http://schemas.openxmlformats.org/officeDocument/2006/relationships/hyperlink" Id="rId31" Target="https://doi.org/10.1038/s41597-019-0285-1" TargetMode="External" /><Relationship Type="http://schemas.openxmlformats.org/officeDocument/2006/relationships/hyperlink" Id="rId39" Target="https://doi.org/10.1038/s41597-025-05186-8" TargetMode="External" /><Relationship Type="http://schemas.openxmlformats.org/officeDocument/2006/relationships/hyperlink" Id="rId45" Target="https://doi.org/10.1038/sdata.2018.101" TargetMode="External" /><Relationship Type="http://schemas.openxmlformats.org/officeDocument/2006/relationships/hyperlink" Id="rId48" Target="https://doi.org/10.1080/17483107.2018.1425748" TargetMode="External" /><Relationship Type="http://schemas.openxmlformats.org/officeDocument/2006/relationships/hyperlink" Id="rId29" Target="https://doi.org/10.1109/BIOROB.2018.8487190" TargetMode="External" /><Relationship Type="http://schemas.openxmlformats.org/officeDocument/2006/relationships/hyperlink" Id="rId52" Target="https://doi.org/10.1109/JTEHM.2017.2780836" TargetMode="External" /><Relationship Type="http://schemas.openxmlformats.org/officeDocument/2006/relationships/hyperlink" Id="rId25" Target="https://doi.org/10.1145/3136755.3136817" TargetMode="External" /><Relationship Type="http://schemas.openxmlformats.org/officeDocument/2006/relationships/hyperlink" Id="rId50" Target="https://doi.org/10.1155/2013/128641" TargetMode="External" /><Relationship Type="http://schemas.openxmlformats.org/officeDocument/2006/relationships/hyperlink" Id="rId27" Target="https://doi.org/10.1161/01.STR.24.1.58" TargetMode="External" /><Relationship Type="http://schemas.openxmlformats.org/officeDocument/2006/relationships/hyperlink" Id="rId35" Target="https://doi.org/10.1177/2055668319831631" TargetMode="External" /><Relationship Type="http://schemas.openxmlformats.org/officeDocument/2006/relationships/hyperlink" Id="rId37" Target="https://doi.org/10.2478/s13230-012-0009-2" TargetMode="External" /><Relationship Type="http://schemas.openxmlformats.org/officeDocument/2006/relationships/hyperlink" Id="rId33" Target="https://doi.org/10.3390/ijms21207609"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2/14651858.CD006876.pub4" TargetMode="External" /><Relationship Type="http://schemas.openxmlformats.org/officeDocument/2006/relationships/hyperlink" Id="rId21" Target="https://doi.org/10.1007/978-3-030-01845-0_69" TargetMode="External" /><Relationship Type="http://schemas.openxmlformats.org/officeDocument/2006/relationships/hyperlink" Id="rId23" Target="https://doi.org/10.1007/s10827-025-00906-5" TargetMode="External" /><Relationship Type="http://schemas.openxmlformats.org/officeDocument/2006/relationships/hyperlink" Id="rId31" Target="https://doi.org/10.1038/s41597-019-0285-1" TargetMode="External" /><Relationship Type="http://schemas.openxmlformats.org/officeDocument/2006/relationships/hyperlink" Id="rId39" Target="https://doi.org/10.1038/s41597-025-05186-8" TargetMode="External" /><Relationship Type="http://schemas.openxmlformats.org/officeDocument/2006/relationships/hyperlink" Id="rId45" Target="https://doi.org/10.1038/sdata.2018.101" TargetMode="External" /><Relationship Type="http://schemas.openxmlformats.org/officeDocument/2006/relationships/hyperlink" Id="rId48" Target="https://doi.org/10.1080/17483107.2018.1425748" TargetMode="External" /><Relationship Type="http://schemas.openxmlformats.org/officeDocument/2006/relationships/hyperlink" Id="rId29" Target="https://doi.org/10.1109/BIOROB.2018.8487190" TargetMode="External" /><Relationship Type="http://schemas.openxmlformats.org/officeDocument/2006/relationships/hyperlink" Id="rId52" Target="https://doi.org/10.1109/JTEHM.2017.2780836" TargetMode="External" /><Relationship Type="http://schemas.openxmlformats.org/officeDocument/2006/relationships/hyperlink" Id="rId25" Target="https://doi.org/10.1145/3136755.3136817" TargetMode="External" /><Relationship Type="http://schemas.openxmlformats.org/officeDocument/2006/relationships/hyperlink" Id="rId50" Target="https://doi.org/10.1155/2013/128641" TargetMode="External" /><Relationship Type="http://schemas.openxmlformats.org/officeDocument/2006/relationships/hyperlink" Id="rId27" Target="https://doi.org/10.1161/01.STR.24.1.58" TargetMode="External" /><Relationship Type="http://schemas.openxmlformats.org/officeDocument/2006/relationships/hyperlink" Id="rId35" Target="https://doi.org/10.1177/2055668319831631" TargetMode="External" /><Relationship Type="http://schemas.openxmlformats.org/officeDocument/2006/relationships/hyperlink" Id="rId37" Target="https://doi.org/10.2478/s13230-012-0009-2" TargetMode="External" /><Relationship Type="http://schemas.openxmlformats.org/officeDocument/2006/relationships/hyperlink" Id="rId33" Target="https://doi.org/10.3390/ijms212076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2026-09-08T16:08:39Z</dcterms:created>
  <dcterms:modified xsi:type="dcterms:W3CDTF">2026-09-08T16:08:39Z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