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abef83d54ffa0a15b8560ab4e0076cedb4822aa"/>
    <w:p>
      <w:pPr>
        <w:pStyle w:val="Heading1"/>
      </w:pPr>
      <w:r>
        <w:t xml:space="preserve">Adaptive Motor Re-Learning: A Wearable Sensor Framework for Upper-Limb Stroke Rehabilitation</w:t>
      </w:r>
    </w:p>
    <w:p>
      <w:pPr>
        <w:pStyle w:val="FirstParagraph"/>
      </w:pPr>
      <w:r>
        <w:rPr>
          <w:b/>
          <w:bCs/>
        </w:rPr>
        <w:t xml:space="preserve">Peter Ohue¹, Gunnar Blohm¹,²</w:t>
      </w:r>
    </w:p>
    <w:p>
      <w:pPr>
        <w:pStyle w:val="BodyText"/>
      </w:pPr>
      <w:r>
        <w:t xml:space="preserve">¹Centre for Neuroscience Studies, Queen’s University, Kingston, ON, Canada</w:t>
      </w:r>
      <w:r>
        <w:t xml:space="preserve"> </w:t>
      </w:r>
      <w:r>
        <w:t xml:space="preserve">²Department of Biomedical and Molecular Sciences, Queen’s University, Kingston, ON, Canada</w:t>
      </w:r>
    </w:p>
    <w:p>
      <w:pPr>
        <w:pStyle w:val="BodyText"/>
      </w:pPr>
      <w:r>
        <w:rPr>
          <w:i/>
          <w:iCs/>
        </w:rPr>
        <w:t xml:space="preserve">Draft: Phase 1 (Abstract / Introduction / Methodology). Results and Discussion to follow in later phases per author’s iterative writeup process.</w:t>
      </w:r>
    </w:p>
    <w:p>
      <w:r>
        <w:pict>
          <v:rect style="width:0;height:1.5pt" o:hralign="center" o:hrstd="t" o:hr="t"/>
        </w:pict>
      </w:r>
    </w:p>
    <w:bookmarkStart w:id="12" w:name="abstract"/>
    <w:p>
      <w:pPr>
        <w:pStyle w:val="Heading2"/>
      </w:pPr>
      <w:r>
        <w:t xml:space="preserve">Abstract</w:t>
      </w:r>
    </w:p>
    <w:p>
      <w:pPr>
        <w:pStyle w:val="FirstParagraph"/>
      </w:pPr>
      <w:r>
        <w:rPr>
          <w:i/>
          <w:iCs/>
        </w:rPr>
        <w:t xml:space="preserve">[To be completed once Results are finalized. Target ~200 words summarizing motivation, approach (RL reference trajectories + TRSP comparison + wearable sleeve concept), and key contribution.]</w:t>
      </w:r>
    </w:p>
    <w:p>
      <w:r>
        <w:pict>
          <v:rect style="width:0;height:1.5pt" o:hralign="center" o:hrstd="t" o:hr="t"/>
        </w:pict>
      </w:r>
    </w:p>
    <w:p>
      <w:pPr>
        <w:pStyle w:val="CaptionedFigure"/>
      </w:pPr>
      <w:r>
        <w:drawing>
          <wp:inline>
            <wp:extent cx="5334000" cy="5334000"/>
            <wp:effectExtent b="0" l="0" r="0" t="0"/>
            <wp:docPr descr="Figure 1: Upper-limb reaching schematic showing the shoulder, elbow, and wrist state variables used by the RL environment." title="" id="10" name="Picture"/>
            <a:graphic>
              <a:graphicData uri="http://schemas.openxmlformats.org/drawingml/2006/picture">
                <pic:pic>
                  <pic:nvPicPr>
                    <pic:cNvPr descr="figures/fig1_schematic.pn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1: Upper-limb reaching schematic showing the shoulder, elbow, and wrist state variables used by the RL environment.</w:t>
      </w:r>
    </w:p>
    <w:p>
      <w:r>
        <w:pict>
          <v:rect style="width:0;height:1.5pt" o:hralign="center" o:hrstd="t" o:hr="t"/>
        </w:pict>
      </w:r>
    </w:p>
    <w:bookmarkEnd w:id="12"/>
    <w:bookmarkStart w:id="13" w:name="introduction"/>
    <w:p>
      <w:pPr>
        <w:pStyle w:val="Heading2"/>
      </w:pPr>
      <w:r>
        <w:t xml:space="preserve">Introduction</w:t>
      </w:r>
    </w:p>
    <w:p>
      <w:pPr>
        <w:pStyle w:val="FirstParagraph"/>
      </w:pPr>
      <w:r>
        <w:t xml:space="preserve">Stroke disrupts blood flow to the brain. It affects more than 13 million people worldwide, kills more than 5 million people annually, and is a leading cause of long-term disability</w:t>
      </w:r>
      <w:r>
        <w:t xml:space="preserve"> </w:t>
      </w:r>
      <w:r>
        <w:t xml:space="preserve">(Lu et al. 2012; Kuriakose and Xiao 2020)</w:t>
      </w:r>
      <w:r>
        <w:t xml:space="preserve">. Motor deficits are a major neurological consequence of stroke and are associated with loss of independence and reduced quality of life</w:t>
      </w:r>
      <w:r>
        <w:t xml:space="preserve"> </w:t>
      </w:r>
      <w:r>
        <w:t xml:space="preserve">(Lucchetti et al. 2025)</w:t>
      </w:r>
      <w:r>
        <w:t xml:space="preserve">. Accurate diagnosis of the resulting physical impairment, including changes in function of the affected limb, is a prerequisite for recommending appropriate remediation</w:t>
      </w:r>
      <w:r>
        <w:t xml:space="preserve"> </w:t>
      </w:r>
      <w:r>
        <w:t xml:space="preserve">(Gowland et al. 1993; Mehrholz et al. 2015)</w:t>
      </w:r>
      <w:r>
        <w:t xml:space="preserve">.</w:t>
      </w:r>
    </w:p>
    <w:p>
      <w:pPr>
        <w:pStyle w:val="BodyText"/>
      </w:pPr>
      <w:r>
        <w:t xml:space="preserve">Normal upper-limb function during daily-life tasks depends on coordinated shoulder-arm kinematics and muscular synergies across at least 30 common activities, with hand postural synergies contributing substantially to grasp force</w:t>
      </w:r>
      <w:r>
        <w:t xml:space="preserve"> </w:t>
      </w:r>
      <w:r>
        <w:t xml:space="preserve">(Hu et al. 2018; Averta et al. 2018; Saudabayev et al. 2018)</w:t>
      </w:r>
      <w:r>
        <w:t xml:space="preserve">. Linking forearm muscle activity to hand kinematics is central to prosthetic design and 3-D biomechanical modelling</w:t>
      </w:r>
      <w:r>
        <w:t xml:space="preserve"> </w:t>
      </w:r>
      <w:r>
        <w:t xml:space="preserve">(Jarque-Bou et al. 2019)</w:t>
      </w:r>
      <w:r>
        <w:t xml:space="preserve">; the same coordination is what stroke-related motor deficits disrupt.</w:t>
      </w:r>
    </w:p>
    <w:p>
      <w:pPr>
        <w:pStyle w:val="BodyText"/>
      </w:pPr>
      <w:r>
        <w:t xml:space="preserve">When normal coordination is lost, stroke survivors often compensate by recruiting alternative movement pathways and unaffected joints and muscles, a substitution that can be inefficient and reinforce atypical movement patterns</w:t>
      </w:r>
      <w:r>
        <w:t xml:space="preserve"> </w:t>
      </w:r>
      <w:r>
        <w:t xml:space="preserve">(Dolatabadi et al. 2017)</w:t>
      </w:r>
      <w:r>
        <w:t xml:space="preserve">. Rehabilitation devices delivered to patients are frequently abandoned after delivery; abandonment is driven by a poor fit between the device and the user’s actual needs, insufficient user involvement in device selection, and lack of ongoing support once the device is at home</w:t>
      </w:r>
      <w:r>
        <w:t xml:space="preserve"> </w:t>
      </w:r>
      <w:r>
        <w:t xml:space="preserve">(Sugawara et al. 2018)</w:t>
      </w:r>
      <w:r>
        <w:t xml:space="preserve">. Robotic and electromechanical devices carry the same risk, and their cost and clinic-based delivery model make sustained home use harder</w:t>
      </w:r>
      <w:r>
        <w:t xml:space="preserve"> </w:t>
      </w:r>
      <w:r>
        <w:t xml:space="preserve">(Mehrholz et al. 2015)</w:t>
      </w:r>
      <w:r>
        <w:t xml:space="preserve">. An upper-limb rehabilitation device should therefore be low-cost and open-hardware, so it can reach the home and the community clinic rather than only the specialized centre, and adaptive, so it can flag emerging compensation in real time rather than depend only on intermittent clinical supervision.</w:t>
      </w:r>
    </w:p>
    <w:p>
      <w:pPr>
        <w:pStyle w:val="BodyText"/>
      </w:pPr>
      <w:r>
        <w:t xml:space="preserve">Home-based use of these devices needs supervision, because unmonitored recruitment of unaffected muscles and joints often leads to undesirable outcomes</w:t>
      </w:r>
      <w:r>
        <w:t xml:space="preserve"> </w:t>
      </w:r>
      <w:r>
        <w:t xml:space="preserve">(Zhi et al. 2018)</w:t>
      </w:r>
      <w:r>
        <w:t xml:space="preserve">. To characterize these compensations, prior work has simulated three types with healthy participants: forward trunk lean, trunk rotation, and shoulder elevation</w:t>
      </w:r>
      <w:r>
        <w:t xml:space="preserve"> </w:t>
      </w:r>
      <w:r>
        <w:t xml:space="preserve">(Zhi et al. 2018; Dolatabadi et al. 2017)</w:t>
      </w:r>
      <w:r>
        <w:t xml:space="preserve">. When post-stroke survivors instead follow homework-based rehabilitation programs without this supervision, new and undesirable compensation patterns risk developing, making later unlearning and relearning necessary</w:t>
      </w:r>
      <w:r>
        <w:t xml:space="preserve"> </w:t>
      </w:r>
      <w:r>
        <w:t xml:space="preserve">(Lin et al. 2019)</w:t>
      </w:r>
      <w:r>
        <w:t xml:space="preserve">. Rehabilitation programs should include task-specific training to induce plasticity and motor recovery; individualized strategies have been useful in identifying relevant therapeutic goals and maximizing long-term gain</w:t>
      </w:r>
      <w:r>
        <w:t xml:space="preserve"> </w:t>
      </w:r>
      <w:r>
        <w:t xml:space="preserve">(Takeuchi and Izumi 2013)</w:t>
      </w:r>
      <w:r>
        <w:t xml:space="preserve">.</w:t>
      </w:r>
    </w:p>
    <w:p>
      <w:pPr>
        <w:pStyle w:val="BodyText"/>
      </w:pPr>
      <w:r>
        <w:t xml:space="preserve">In this study, our goal is to develop a rehabilitation framework for upper-limb post-stroke management that is usable outside the specialized clinic. We compare RL-generated reference trajectories against the reach kinematics of healthy participants (performing natural and simulated-compensation reaches) and post-stroke participants, to quantify compensation strategies rather than rely on visual inspection alone. This framework builds on a companion computational study relating RL-derived internal representations to internal representations in biological neurons during motor adaptation</w:t>
      </w:r>
      <w:r>
        <w:t xml:space="preserve"> </w:t>
      </w:r>
      <w:r>
        <w:t xml:space="preserve">(Ohue et al. 2026)</w:t>
      </w:r>
      <w:r>
        <w:t xml:space="preserve">, and on our earlier work on accessible computational-neuroscience tools and training</w:t>
      </w:r>
      <w:r>
        <w:t xml:space="preserve"> </w:t>
      </w:r>
      <w:r>
        <w:t xml:space="preserve">(Chinagorom and Ohue 2025; Ohue 2026)</w:t>
      </w:r>
      <w:r>
        <w:t xml:space="preserve">. We further propose an adaptive motor-relearning program built around a neuroinspired wearable sleeve, pairing open-source RL control software with a low-cost, open-hardware design, so stroke survivors can receive continuous, condition-specific feedback while relearning natural movement.</w:t>
      </w:r>
    </w:p>
    <w:p>
      <w:r>
        <w:pict>
          <v:rect style="width:0;height:1.5pt" o:hralign="center" o:hrstd="t" o:hr="t"/>
        </w:pict>
      </w:r>
    </w:p>
    <w:bookmarkEnd w:id="13"/>
    <w:bookmarkStart w:id="19" w:name="methodology"/>
    <w:p>
      <w:pPr>
        <w:pStyle w:val="Heading2"/>
      </w:pPr>
      <w:r>
        <w:t xml:space="preserve">Methodology</w:t>
      </w:r>
    </w:p>
    <w:p>
      <w:pPr>
        <w:pStyle w:val="FirstParagraph"/>
      </w:pPr>
      <w:r>
        <w:t xml:space="preserve">We developed an open-source Proximal Policy Optimization (PPO) model, a reinforcement-learning control algorithm, to simulate how human arms adapt and navigate obstacles under unexpected physical disruptions</w:t>
      </w:r>
      <w:r>
        <w:t xml:space="preserve"> </w:t>
      </w:r>
      <w:r>
        <w:t xml:space="preserve">(Schulman et al. 2017)</w:t>
      </w:r>
      <w:r>
        <w:t xml:space="preserve">. This work is currently undergoing internal review for publication</w:t>
      </w:r>
      <w:r>
        <w:t xml:space="preserve"> </w:t>
      </w:r>
      <w:r>
        <w:t xml:space="preserve">(Ohue et al. 2026)</w:t>
      </w:r>
      <w:r>
        <w:t xml:space="preserve">.</w:t>
      </w:r>
    </w:p>
    <w:bookmarkStart w:id="14" w:name="project-vision"/>
    <w:p>
      <w:pPr>
        <w:pStyle w:val="Heading3"/>
      </w:pPr>
      <w:r>
        <w:t xml:space="preserve">Project vision</w:t>
      </w:r>
    </w:p>
    <w:p>
      <w:pPr>
        <w:pStyle w:val="Compact"/>
        <w:numPr>
          <w:ilvl w:val="0"/>
          <w:numId w:val="1001"/>
        </w:numPr>
      </w:pPr>
      <w:r>
        <w:t xml:space="preserve">An open-access RL motor-control framework (PPO agent) modeling sensorimotor adaptation, obstacle avoidance, and unlearning/relearning dynamics during stroke recovery.</w:t>
      </w:r>
    </w:p>
    <w:p>
      <w:pPr>
        <w:pStyle w:val="Compact"/>
        <w:numPr>
          <w:ilvl w:val="0"/>
          <w:numId w:val="1001"/>
        </w:numPr>
      </w:pPr>
      <w:r>
        <w:t xml:space="preserve">A low-cost, open-spec motorized arm sleeve designed for home recovery and community clinics, as an open-source alternative to expensive proprietary devices.</w:t>
      </w:r>
    </w:p>
    <w:p>
      <w:pPr>
        <w:pStyle w:val="Compact"/>
        <w:numPr>
          <w:ilvl w:val="0"/>
          <w:numId w:val="1001"/>
        </w:numPr>
      </w:pPr>
      <w:r>
        <w:t xml:space="preserve">Extending our open-source AI models to lower-limb assistive devices to reduce device abandonment and support natural gait dynamics.</w:t>
      </w:r>
    </w:p>
    <w:bookmarkEnd w:id="14"/>
    <w:bookmarkStart w:id="15" w:name="rl-reference-trajectories"/>
    <w:p>
      <w:pPr>
        <w:pStyle w:val="Heading3"/>
      </w:pPr>
      <w:r>
        <w:t xml:space="preserve">RL reference trajectories</w:t>
      </w:r>
    </w:p>
    <w:p>
      <w:pPr>
        <w:pStyle w:val="FirstParagraph"/>
      </w:pPr>
      <w:r>
        <w:t xml:space="preserve">The RL controller is a PPO actor-critic agent trained on a 2-D obstacle-avoidance reaching task, following the environment, reward function, and perturbation protocol of our companion paper</w:t>
      </w:r>
      <w:r>
        <w:t xml:space="preserve"> </w:t>
      </w:r>
      <w:r>
        <w:t xml:space="preserve">(Ohue et al. 2026)</w:t>
      </w:r>
      <w:r>
        <w:t xml:space="preserve">. The agent is a point mass that receives continuous force commands and evolves under Newtonian dynamics inside a bounded rectangular workspace containing a fixed goal and two static obstacles forming a corridor. Its observation is expressed in agent-centred coordinates,</w:t>
      </w:r>
    </w:p>
    <w:p>
      <w:pPr>
        <w:pStyle w:val="BodyText"/>
      </w:pPr>
      <m:oMathPara>
        <m:oMathParaPr>
          <m:jc m:val="center"/>
        </m:oMathParaPr>
        <m:oMath>
          <m:sSub>
            <m:e>
              <m:r>
                <m:rPr>
                  <m:sty m:val="b"/>
                </m:rPr>
                <m:t>s</m:t>
              </m:r>
            </m:e>
            <m:sub>
              <m:r>
                <m:t>t</m:t>
              </m:r>
            </m:sub>
          </m:sSub>
          <m:r>
            <m:rPr>
              <m:sty m:val="p"/>
            </m:rPr>
            <m:t>=</m:t>
          </m:r>
          <m:d>
            <m:dPr>
              <m:begChr m:val="["/>
              <m:sepChr m:val=""/>
              <m:endChr m:val="]"/>
              <m:grow/>
            </m:dPr>
            <m:e>
              <m:sSub>
                <m:e>
                  <m:r>
                    <m:t>g</m:t>
                  </m:r>
                </m:e>
                <m:sub>
                  <m:r>
                    <m:t>x</m:t>
                  </m:r>
                </m:sub>
              </m:sSub>
              <m:r>
                <m:rPr>
                  <m:sty m:val="p"/>
                </m:rPr>
                <m:t>−</m:t>
              </m:r>
              <m:sSub>
                <m:e>
                  <m:r>
                    <m:t>x</m:t>
                  </m:r>
                </m:e>
                <m:sub>
                  <m:r>
                    <m:t>t</m:t>
                  </m:r>
                </m:sub>
              </m:sSub>
              <m:r>
                <m:rPr>
                  <m:sty m:val="p"/>
                </m:rPr>
                <m:t>,</m:t>
              </m:r>
              <m:r>
                <m:t> </m:t>
              </m:r>
              <m:sSub>
                <m:e>
                  <m:r>
                    <m:t>g</m:t>
                  </m:r>
                </m:e>
                <m:sub>
                  <m:r>
                    <m:t>y</m:t>
                  </m:r>
                </m:sub>
              </m:sSub>
              <m:r>
                <m:rPr>
                  <m:sty m:val="p"/>
                </m:rPr>
                <m:t>−</m:t>
              </m:r>
              <m:sSub>
                <m:e>
                  <m:r>
                    <m:t>y</m:t>
                  </m:r>
                </m:e>
                <m:sub>
                  <m:r>
                    <m:t>t</m:t>
                  </m:r>
                </m:sub>
              </m:sSub>
              <m:r>
                <m:rPr>
                  <m:sty m:val="p"/>
                </m:rPr>
                <m:t>,</m:t>
              </m:r>
              <m:r>
                <m:t> </m:t>
              </m:r>
              <m:sSub>
                <m:e>
                  <m:r>
                    <m:t>o</m:t>
                  </m:r>
                </m:e>
                <m:sub>
                  <m:r>
                    <m:t>L</m:t>
                  </m:r>
                  <m:r>
                    <m:t>x</m:t>
                  </m:r>
                </m:sub>
              </m:sSub>
              <m:r>
                <m:rPr>
                  <m:sty m:val="p"/>
                </m:rPr>
                <m:t>−</m:t>
              </m:r>
              <m:sSub>
                <m:e>
                  <m:r>
                    <m:t>x</m:t>
                  </m:r>
                </m:e>
                <m:sub>
                  <m:r>
                    <m:t>t</m:t>
                  </m:r>
                </m:sub>
              </m:sSub>
              <m:r>
                <m:rPr>
                  <m:sty m:val="p"/>
                </m:rPr>
                <m:t>,</m:t>
              </m:r>
              <m:r>
                <m:t> </m:t>
              </m:r>
              <m:sSub>
                <m:e>
                  <m:r>
                    <m:t>o</m:t>
                  </m:r>
                </m:e>
                <m:sub>
                  <m:r>
                    <m:t>L</m:t>
                  </m:r>
                  <m:r>
                    <m:t>y</m:t>
                  </m:r>
                </m:sub>
              </m:sSub>
              <m:r>
                <m:rPr>
                  <m:sty m:val="p"/>
                </m:rPr>
                <m:t>−</m:t>
              </m:r>
              <m:sSub>
                <m:e>
                  <m:r>
                    <m:t>y</m:t>
                  </m:r>
                </m:e>
                <m:sub>
                  <m:r>
                    <m:t>t</m:t>
                  </m:r>
                </m:sub>
              </m:sSub>
              <m:r>
                <m:rPr>
                  <m:sty m:val="p"/>
                </m:rPr>
                <m:t>,</m:t>
              </m:r>
              <m:r>
                <m:t> </m:t>
              </m:r>
              <m:sSub>
                <m:e>
                  <m:r>
                    <m:t>o</m:t>
                  </m:r>
                </m:e>
                <m:sub>
                  <m:r>
                    <m:t>R</m:t>
                  </m:r>
                  <m:r>
                    <m:t>x</m:t>
                  </m:r>
                </m:sub>
              </m:sSub>
              <m:r>
                <m:rPr>
                  <m:sty m:val="p"/>
                </m:rPr>
                <m:t>−</m:t>
              </m:r>
              <m:sSub>
                <m:e>
                  <m:r>
                    <m:t>x</m:t>
                  </m:r>
                </m:e>
                <m:sub>
                  <m:r>
                    <m:t>t</m:t>
                  </m:r>
                </m:sub>
              </m:sSub>
              <m:r>
                <m:rPr>
                  <m:sty m:val="p"/>
                </m:rPr>
                <m:t>,</m:t>
              </m:r>
              <m:r>
                <m:t> </m:t>
              </m:r>
              <m:sSub>
                <m:e>
                  <m:r>
                    <m:t>o</m:t>
                  </m:r>
                </m:e>
                <m:sub>
                  <m:r>
                    <m:t>R</m:t>
                  </m:r>
                  <m:r>
                    <m:t>y</m:t>
                  </m:r>
                </m:sub>
              </m:sSub>
              <m:r>
                <m:rPr>
                  <m:sty m:val="p"/>
                </m:rPr>
                <m:t>−</m:t>
              </m:r>
              <m:sSub>
                <m:e>
                  <m:r>
                    <m:t>y</m:t>
                  </m:r>
                </m:e>
                <m:sub>
                  <m:r>
                    <m:t>t</m:t>
                  </m:r>
                </m:sub>
              </m:sSub>
              <m:r>
                <m:rPr>
                  <m:sty m:val="p"/>
                </m:rPr>
                <m:t>,</m:t>
              </m:r>
              <m:r>
                <m:t> </m:t>
              </m:r>
              <m:sSub>
                <m:e>
                  <m:r>
                    <m:t>v</m:t>
                  </m:r>
                </m:e>
                <m:sub>
                  <m:r>
                    <m:t>x</m:t>
                  </m:r>
                  <m:r>
                    <m:rPr>
                      <m:sty m:val="p"/>
                    </m:rPr>
                    <m:t>,</m:t>
                  </m:r>
                  <m:r>
                    <m:t>t</m:t>
                  </m:r>
                </m:sub>
              </m:sSub>
              <m:r>
                <m:rPr>
                  <m:sty m:val="p"/>
                </m:rPr>
                <m:t>,</m:t>
              </m:r>
              <m:r>
                <m:t> </m:t>
              </m:r>
              <m:sSub>
                <m:e>
                  <m:r>
                    <m:t>v</m:t>
                  </m:r>
                </m:e>
                <m:sub>
                  <m:r>
                    <m:t>y</m:t>
                  </m:r>
                  <m:r>
                    <m:rPr>
                      <m:sty m:val="p"/>
                    </m:rPr>
                    <m:t>,</m:t>
                  </m:r>
                  <m:r>
                    <m:t>t</m:t>
                  </m:r>
                </m:sub>
              </m:sSub>
            </m:e>
          </m:d>
          <m:r>
            <m:rPr>
              <m:sty m:val="p"/>
            </m:rPr>
            <m:t>,</m:t>
          </m:r>
        </m:oMath>
      </m:oMathPara>
    </w:p>
    <w:p>
      <w:pPr>
        <w:pStyle w:val="FirstParagraph"/>
      </w:pPr>
      <w:r>
        <w:t xml:space="preserve">where</w:t>
      </w:r>
      <w:r>
        <w:t xml:space="preserve"> </w:t>
      </w:r>
      <m:oMath>
        <m:r>
          <m:rPr>
            <m:sty m:val="p"/>
          </m:rPr>
          <m:t>(</m:t>
        </m:r>
        <m:sSub>
          <m:e>
            <m:r>
              <m:t>x</m:t>
            </m:r>
          </m:e>
          <m:sub>
            <m:r>
              <m:t>t</m:t>
            </m:r>
          </m:sub>
        </m:sSub>
        <m:r>
          <m:rPr>
            <m:sty m:val="p"/>
          </m:rPr>
          <m:t>,</m:t>
        </m:r>
        <m:sSub>
          <m:e>
            <m:r>
              <m:t>y</m:t>
            </m:r>
          </m:e>
          <m:sub>
            <m:r>
              <m:t>t</m:t>
            </m:r>
          </m:sub>
        </m:sSub>
        <m:r>
          <m:rPr>
            <m:sty m:val="p"/>
          </m:rPr>
          <m:t>)</m:t>
        </m:r>
      </m:oMath>
      <w:r>
        <w:t xml:space="preserve"> </w:t>
      </w:r>
      <w:r>
        <w:t xml:space="preserve">and</w:t>
      </w:r>
      <w:r>
        <w:t xml:space="preserve"> </w:t>
      </w:r>
      <m:oMath>
        <m:r>
          <m:rPr>
            <m:sty m:val="p"/>
          </m:rPr>
          <m:t>(</m:t>
        </m:r>
        <m:sSub>
          <m:e>
            <m:r>
              <m:t>v</m:t>
            </m:r>
          </m:e>
          <m:sub>
            <m:r>
              <m:t>x</m:t>
            </m:r>
            <m:r>
              <m:rPr>
                <m:sty m:val="p"/>
              </m:rPr>
              <m:t>,</m:t>
            </m:r>
            <m:r>
              <m:t>t</m:t>
            </m:r>
          </m:sub>
        </m:sSub>
        <m:r>
          <m:rPr>
            <m:sty m:val="p"/>
          </m:rPr>
          <m:t>,</m:t>
        </m:r>
        <m:sSub>
          <m:e>
            <m:r>
              <m:t>v</m:t>
            </m:r>
          </m:e>
          <m:sub>
            <m:r>
              <m:t>y</m:t>
            </m:r>
            <m:r>
              <m:rPr>
                <m:sty m:val="p"/>
              </m:rPr>
              <m:t>,</m:t>
            </m:r>
            <m:r>
              <m:t>t</m:t>
            </m:r>
          </m:sub>
        </m:sSub>
        <m:r>
          <m:rPr>
            <m:sty m:val="p"/>
          </m:rPr>
          <m:t>)</m:t>
        </m:r>
      </m:oMath>
      <w:r>
        <w:t xml:space="preserve"> </w:t>
      </w:r>
      <w:r>
        <w:t xml:space="preserve">are the agent’s position and velocity,</w:t>
      </w:r>
      <w:r>
        <w:t xml:space="preserve"> </w:t>
      </w:r>
      <m:oMath>
        <m:r>
          <m:rPr>
            <m:sty m:val="p"/>
          </m:rPr>
          <m:t>(</m:t>
        </m:r>
        <m:sSub>
          <m:e>
            <m:r>
              <m:t>g</m:t>
            </m:r>
          </m:e>
          <m:sub>
            <m:r>
              <m:t>x</m:t>
            </m:r>
          </m:sub>
        </m:sSub>
        <m:r>
          <m:rPr>
            <m:sty m:val="p"/>
          </m:rPr>
          <m:t>,</m:t>
        </m:r>
        <m:sSub>
          <m:e>
            <m:r>
              <m:t>g</m:t>
            </m:r>
          </m:e>
          <m:sub>
            <m:r>
              <m:t>y</m:t>
            </m:r>
          </m:sub>
        </m:sSub>
        <m:r>
          <m:rPr>
            <m:sty m:val="p"/>
          </m:rPr>
          <m:t>)</m:t>
        </m:r>
      </m:oMath>
      <w:r>
        <w:t xml:space="preserve"> </w:t>
      </w:r>
      <w:r>
        <w:t xml:space="preserve">is the goal location, and</w:t>
      </w:r>
      <w:r>
        <w:t xml:space="preserve"> </w:t>
      </w:r>
      <m:oMath>
        <m:r>
          <m:rPr>
            <m:sty m:val="p"/>
          </m:rPr>
          <m:t>(</m:t>
        </m:r>
        <m:sSub>
          <m:e>
            <m:r>
              <m:t>o</m:t>
            </m:r>
          </m:e>
          <m:sub>
            <m:r>
              <m:t>L</m:t>
            </m:r>
          </m:sub>
        </m:sSub>
        <m:r>
          <m:rPr>
            <m:sty m:val="p"/>
          </m:rPr>
          <m:t>,</m:t>
        </m:r>
        <m:sSub>
          <m:e>
            <m:r>
              <m:t>o</m:t>
            </m:r>
          </m:e>
          <m:sub>
            <m:r>
              <m:t>R</m:t>
            </m:r>
          </m:sub>
        </m:sSub>
        <m:r>
          <m:rPr>
            <m:sty m:val="p"/>
          </m:rPr>
          <m:t>)</m:t>
        </m:r>
      </m:oMath>
      <w:r>
        <w:t xml:space="preserve"> </w:t>
      </w:r>
      <w:r>
        <w:t xml:space="preserve">are the centres of the left and right obstacles. The reward at each timestep combines four terms,</w:t>
      </w:r>
    </w:p>
    <w:p>
      <w:pPr>
        <w:pStyle w:val="BodyText"/>
      </w:pPr>
      <m:oMathPara>
        <m:oMathParaPr>
          <m:jc m:val="center"/>
        </m:oMathParaPr>
        <m:oMath>
          <m:sSub>
            <m:e>
              <m:r>
                <m:t>R</m:t>
              </m:r>
            </m:e>
            <m:sub>
              <m:r>
                <m:t>t</m:t>
              </m:r>
            </m:sub>
          </m:sSub>
          <m:r>
            <m:rPr>
              <m:sty m:val="p"/>
            </m:rPr>
            <m:t>=</m:t>
          </m:r>
          <m:sSub>
            <m:e>
              <m:r>
                <m:t>w</m:t>
              </m:r>
            </m:e>
            <m:sub>
              <m:r>
                <m:t>p</m:t>
              </m:r>
            </m:sub>
          </m:sSub>
          <m:r>
            <m:rPr>
              <m:sty m:val="p"/>
            </m:rPr>
            <m:t>Δ</m:t>
          </m:r>
          <m:sSub>
            <m:e>
              <m:r>
                <m:t>d</m:t>
              </m:r>
            </m:e>
            <m:sub>
              <m:r>
                <m:rPr>
                  <m:nor/>
                  <m:sty m:val="p"/>
                </m:rPr>
                <m:t>goal</m:t>
              </m:r>
            </m:sub>
          </m:sSub>
          <m:r>
            <m:rPr>
              <m:sty m:val="p"/>
            </m:rPr>
            <m:t>−</m:t>
          </m:r>
          <m:sSub>
            <m:e>
              <m:r>
                <m:t>w</m:t>
              </m:r>
            </m:e>
            <m:sub>
              <m:r>
                <m:t>v</m:t>
              </m:r>
            </m:sub>
          </m:sSub>
          <m:d>
            <m:dPr>
              <m:begChr m:val="‖"/>
              <m:sepChr m:val=""/>
              <m:endChr m:val="‖"/>
              <m:grow/>
            </m:dPr>
            <m:e>
              <m:sSub>
                <m:e>
                  <m:r>
                    <m:rPr>
                      <m:sty m:val="b"/>
                    </m:rPr>
                    <m:t>v</m:t>
                  </m:r>
                </m:e>
                <m:sub>
                  <m:r>
                    <m:t>t</m:t>
                  </m:r>
                </m:sub>
              </m:sSub>
            </m:e>
          </m:d>
          <m:r>
            <m:rPr>
              <m:sty m:val="p"/>
            </m:rPr>
            <m:t>−</m:t>
          </m:r>
          <m:sSub>
            <m:e>
              <m:r>
                <m:t>w</m:t>
              </m:r>
            </m:e>
            <m:sub>
              <m:r>
                <m:t>c</m:t>
              </m:r>
            </m:sub>
          </m:sSub>
          <m:sSub>
            <m:e>
              <m:r>
                <m:t>C</m:t>
              </m:r>
            </m:e>
            <m:sub>
              <m:r>
                <m:t>t</m:t>
              </m:r>
            </m:sub>
          </m:sSub>
          <m:r>
            <m:rPr>
              <m:sty m:val="p"/>
            </m:rPr>
            <m:t>+</m:t>
          </m:r>
          <m:sSub>
            <m:e>
              <m:r>
                <m:t>w</m:t>
              </m:r>
            </m:e>
            <m:sub>
              <m:r>
                <m:t>s</m:t>
              </m:r>
            </m:sub>
          </m:sSub>
          <m:sSub>
            <m:e>
              <m:r>
                <m:t>S</m:t>
              </m:r>
            </m:e>
            <m:sub>
              <m:r>
                <m:t>t</m:t>
              </m:r>
            </m:sub>
          </m:sSub>
          <m:r>
            <m:rPr>
              <m:sty m:val="p"/>
            </m:rPr>
            <m:t>,</m:t>
          </m:r>
        </m:oMath>
      </m:oMathPara>
    </w:p>
    <w:p>
      <w:pPr>
        <w:pStyle w:val="FirstParagraph"/>
      </w:pPr>
      <w:r>
        <w:t xml:space="preserve">rewarding progress toward the goal, penalising excessive speed, penalising collision (</w:t>
      </w:r>
      <m:oMath>
        <m:sSub>
          <m:e>
            <m:r>
              <m:t>C</m:t>
            </m:r>
          </m:e>
          <m:sub>
            <m:r>
              <m:t>t</m:t>
            </m:r>
          </m:sub>
        </m:sSub>
        <m:r>
          <m:rPr>
            <m:sty m:val="p"/>
          </m:rPr>
          <m:t>=</m:t>
        </m:r>
        <m:r>
          <m:t>1</m:t>
        </m:r>
      </m:oMath>
      <w:r>
        <w:t xml:space="preserve"> </w:t>
      </w:r>
      <w:r>
        <w:t xml:space="preserve">on collision), and rewarding successful goal attainment (</w:t>
      </w:r>
      <m:oMath>
        <m:sSub>
          <m:e>
            <m:r>
              <m:t>S</m:t>
            </m:r>
          </m:e>
          <m:sub>
            <m:r>
              <m:t>t</m:t>
            </m:r>
          </m:sub>
        </m:sSub>
        <m:r>
          <m:rPr>
            <m:sty m:val="p"/>
          </m:rPr>
          <m:t>=</m:t>
        </m:r>
        <m:r>
          <m:t>1</m:t>
        </m:r>
      </m:oMath>
      <w:r>
        <w:t xml:space="preserve"> </w:t>
      </w:r>
      <w:r>
        <w:t xml:space="preserve">on success). Policy and value networks are separate two-hidden-layer (256-unit, ReLU) feedforward MLPs, trained with the clipped PPO surrogate objective</w:t>
      </w:r>
    </w:p>
    <w:p>
      <w:pPr>
        <w:pStyle w:val="BodyText"/>
      </w:pPr>
      <m:oMathPara>
        <m:oMathParaPr>
          <m:jc m:val="center"/>
        </m:oMathParaPr>
        <m:oMath>
          <m:sSup>
            <m:e>
              <m:r>
                <m:t>L</m:t>
              </m:r>
            </m:e>
            <m:sup>
              <m:r>
                <m:rPr>
                  <m:nor/>
                  <m:sty m:val="p"/>
                </m:rPr>
                <m:t>CLIP</m:t>
              </m:r>
            </m:sup>
          </m:sSup>
          <m:r>
            <m:rPr>
              <m:sty m:val="p"/>
            </m:rPr>
            <m:t>(</m:t>
          </m:r>
          <m:r>
            <m:t>θ</m:t>
          </m:r>
          <m:r>
            <m:rPr>
              <m:sty m:val="p"/>
            </m:rPr>
            <m:t>)</m:t>
          </m:r>
          <m:r>
            <m:rPr>
              <m:sty m:val="p"/>
            </m:rPr>
            <m:t>=</m:t>
          </m:r>
          <m:sSub>
            <m:e>
              <m:acc>
                <m:accPr>
                  <m:chr m:val="̂"/>
                </m:accPr>
                <m:e>
                  <m:r>
                    <m:rPr>
                      <m:scr m:val="double-struck"/>
                      <m:sty m:val="p"/>
                    </m:rPr>
                    <m:t>E</m:t>
                  </m:r>
                </m:e>
              </m:acc>
            </m:e>
            <m:sub>
              <m:r>
                <m:t>t</m:t>
              </m:r>
            </m:sub>
          </m:sSub>
          <m:d>
            <m:dPr>
              <m:begChr m:val="["/>
              <m:sepChr m:val=""/>
              <m:endChr m:val="]"/>
              <m:grow/>
            </m:dPr>
            <m:e>
              <m:r>
                <m:rPr>
                  <m:sty m:val="p"/>
                </m:rPr>
                <m:t>min</m:t>
              </m:r>
              <m:d>
                <m:dPr>
                  <m:begChr m:val="("/>
                  <m:sepChr m:val=""/>
                  <m:endChr m:val=")"/>
                  <m:grow/>
                </m:dPr>
                <m:e>
                  <m:sSub>
                    <m:e>
                      <m:r>
                        <m:t>r</m:t>
                      </m:r>
                    </m:e>
                    <m:sub>
                      <m:r>
                        <m:t>t</m:t>
                      </m:r>
                    </m:sub>
                  </m:sSub>
                  <m:r>
                    <m:rPr>
                      <m:sty m:val="p"/>
                    </m:rPr>
                    <m:t>(</m:t>
                  </m:r>
                  <m:r>
                    <m:t>θ</m:t>
                  </m:r>
                  <m:r>
                    <m:rPr>
                      <m:sty m:val="p"/>
                    </m:rPr>
                    <m:t>)</m:t>
                  </m:r>
                  <m:sSub>
                    <m:e>
                      <m:acc>
                        <m:accPr>
                          <m:chr m:val="̂"/>
                        </m:accPr>
                        <m:e>
                          <m:r>
                            <m:t>A</m:t>
                          </m:r>
                        </m:e>
                      </m:acc>
                    </m:e>
                    <m:sub>
                      <m:r>
                        <m:t>t</m:t>
                      </m:r>
                    </m:sub>
                  </m:sSub>
                  <m:r>
                    <m:rPr>
                      <m:sty m:val="p"/>
                    </m:rPr>
                    <m:t>,</m:t>
                  </m:r>
                  <m:r>
                    <m:t> </m:t>
                  </m:r>
                  <m:r>
                    <m:rPr>
                      <m:nor/>
                      <m:sty m:val="p"/>
                    </m:rPr>
                    <m:t>clip</m:t>
                  </m:r>
                  <m:r>
                    <m:rPr>
                      <m:sty m:val="p"/>
                    </m:rPr>
                    <m:t>(</m:t>
                  </m:r>
                  <m:sSub>
                    <m:e>
                      <m:r>
                        <m:t>r</m:t>
                      </m:r>
                    </m:e>
                    <m:sub>
                      <m:r>
                        <m:t>t</m:t>
                      </m:r>
                    </m:sub>
                  </m:sSub>
                  <m:r>
                    <m:rPr>
                      <m:sty m:val="p"/>
                    </m:rPr>
                    <m:t>(</m:t>
                  </m:r>
                  <m:r>
                    <m:t>θ</m:t>
                  </m:r>
                  <m:r>
                    <m:rPr>
                      <m:sty m:val="p"/>
                    </m:rPr>
                    <m:t>)</m:t>
                  </m:r>
                  <m:r>
                    <m:rPr>
                      <m:sty m:val="p"/>
                    </m:rPr>
                    <m:t>,</m:t>
                  </m:r>
                  <m:r>
                    <m:t>1</m:t>
                  </m:r>
                  <m:r>
                    <m:rPr>
                      <m:sty m:val="p"/>
                    </m:rPr>
                    <m:t>−</m:t>
                  </m:r>
                  <m:r>
                    <m:t>ϵ</m:t>
                  </m:r>
                  <m:r>
                    <m:rPr>
                      <m:sty m:val="p"/>
                    </m:rPr>
                    <m:t>,</m:t>
                  </m:r>
                  <m:r>
                    <m:t>1</m:t>
                  </m:r>
                  <m:r>
                    <m:rPr>
                      <m:sty m:val="p"/>
                    </m:rPr>
                    <m:t>+</m:t>
                  </m:r>
                  <m:r>
                    <m:t>ϵ</m:t>
                  </m:r>
                  <m:r>
                    <m:rPr>
                      <m:sty m:val="p"/>
                    </m:rPr>
                    <m:t>)</m:t>
                  </m:r>
                  <m:sSub>
                    <m:e>
                      <m:acc>
                        <m:accPr>
                          <m:chr m:val="̂"/>
                        </m:accPr>
                        <m:e>
                          <m:r>
                            <m:t>A</m:t>
                          </m:r>
                        </m:e>
                      </m:acc>
                    </m:e>
                    <m:sub>
                      <m:r>
                        <m:t>t</m:t>
                      </m:r>
                    </m:sub>
                  </m:sSub>
                </m:e>
              </m:d>
            </m:e>
          </m:d>
          <m:r>
            <m:rPr>
              <m:sty m:val="p"/>
            </m:rPr>
            <m:t>,</m:t>
          </m:r>
          <m:r>
            <m:t>  </m:t>
          </m:r>
          <m:sSub>
            <m:e>
              <m:r>
                <m:t>r</m:t>
              </m:r>
            </m:e>
            <m:sub>
              <m:r>
                <m:t>t</m:t>
              </m:r>
            </m:sub>
          </m:sSub>
          <m:r>
            <m:rPr>
              <m:sty m:val="p"/>
            </m:rPr>
            <m:t>(</m:t>
          </m:r>
          <m:r>
            <m:t>θ</m:t>
          </m:r>
          <m:r>
            <m:rPr>
              <m:sty m:val="p"/>
            </m:rPr>
            <m:t>)</m:t>
          </m:r>
          <m:r>
            <m:rPr>
              <m:sty m:val="p"/>
            </m:rPr>
            <m:t>=</m:t>
          </m:r>
          <m:f>
            <m:fPr>
              <m:type m:val="bar"/>
            </m:fPr>
            <m:num>
              <m:sSub>
                <m:e>
                  <m:r>
                    <m:t>π</m:t>
                  </m:r>
                </m:e>
                <m:sub>
                  <m:r>
                    <m:t>θ</m:t>
                  </m:r>
                </m:sub>
              </m:sSub>
              <m:r>
                <m:rPr>
                  <m:sty m:val="p"/>
                </m:rPr>
                <m:t>(</m:t>
              </m:r>
              <m:sSub>
                <m:e>
                  <m:r>
                    <m:rPr>
                      <m:sty m:val="b"/>
                    </m:rPr>
                    <m:t>a</m:t>
                  </m:r>
                </m:e>
                <m:sub>
                  <m:r>
                    <m:t>t</m:t>
                  </m:r>
                </m:sub>
              </m:sSub>
              <m:r>
                <m:rPr>
                  <m:sty m:val="p"/>
                </m:rPr>
                <m:t>∣</m:t>
              </m:r>
              <m:sSub>
                <m:e>
                  <m:r>
                    <m:rPr>
                      <m:sty m:val="b"/>
                    </m:rPr>
                    <m:t>s</m:t>
                  </m:r>
                </m:e>
                <m:sub>
                  <m:r>
                    <m:t>t</m:t>
                  </m:r>
                </m:sub>
              </m:sSub>
              <m:r>
                <m:rPr>
                  <m:sty m:val="p"/>
                </m:rPr>
                <m:t>)</m:t>
              </m:r>
            </m:num>
            <m:den>
              <m:sSub>
                <m:e>
                  <m:r>
                    <m:t>π</m:t>
                  </m:r>
                </m:e>
                <m:sub>
                  <m:sSub>
                    <m:e>
                      <m:r>
                        <m:t>θ</m:t>
                      </m:r>
                    </m:e>
                    <m:sub>
                      <m:r>
                        <m:rPr>
                          <m:nor/>
                          <m:sty m:val="p"/>
                        </m:rPr>
                        <m:t>old</m:t>
                      </m:r>
                    </m:sub>
                  </m:sSub>
                </m:sub>
              </m:sSub>
              <m:r>
                <m:rPr>
                  <m:sty m:val="p"/>
                </m:rPr>
                <m:t>(</m:t>
              </m:r>
              <m:sSub>
                <m:e>
                  <m:r>
                    <m:rPr>
                      <m:sty m:val="b"/>
                    </m:rPr>
                    <m:t>a</m:t>
                  </m:r>
                </m:e>
                <m:sub>
                  <m:r>
                    <m:t>t</m:t>
                  </m:r>
                </m:sub>
              </m:sSub>
              <m:r>
                <m:rPr>
                  <m:sty m:val="p"/>
                </m:rPr>
                <m:t>∣</m:t>
              </m:r>
              <m:sSub>
                <m:e>
                  <m:r>
                    <m:rPr>
                      <m:sty m:val="b"/>
                    </m:rPr>
                    <m:t>s</m:t>
                  </m:r>
                </m:e>
                <m:sub>
                  <m:r>
                    <m:t>t</m:t>
                  </m:r>
                </m:sub>
              </m:sSub>
              <m:r>
                <m:rPr>
                  <m:sty m:val="p"/>
                </m:rPr>
                <m:t>)</m:t>
              </m:r>
            </m:den>
          </m:f>
          <m:r>
            <m:rPr>
              <m:sty m:val="p"/>
            </m:rPr>
            <m:t>,</m:t>
          </m:r>
        </m:oMath>
      </m:oMathPara>
    </w:p>
    <w:p>
      <w:pPr>
        <w:pStyle w:val="FirstParagraph"/>
      </w:pPr>
      <w:r>
        <w:t xml:space="preserve">using Stable-Baselines3 with clip parameter</w:t>
      </w:r>
      <w:r>
        <w:t xml:space="preserve"> </w:t>
      </w:r>
      <m:oMath>
        <m:r>
          <m:t>ϵ</m:t>
        </m:r>
        <m:r>
          <m:rPr>
            <m:sty m:val="p"/>
          </m:rPr>
          <m:t>=</m:t>
        </m:r>
        <m:r>
          <m:t>0.2</m:t>
        </m:r>
      </m:oMath>
      <w:r>
        <w:t xml:space="preserve">, learning rate</w:t>
      </w:r>
      <w:r>
        <w:t xml:space="preserve"> </w:t>
      </w:r>
      <m:oMath>
        <m:r>
          <m:t>3</m:t>
        </m:r>
        <m:r>
          <m:rPr>
            <m:sty m:val="p"/>
          </m:rPr>
          <m:t>×</m:t>
        </m:r>
        <m:sSup>
          <m:e>
            <m:r>
              <m:t>10</m:t>
            </m:r>
          </m:e>
          <m:sup>
            <m:r>
              <m:rPr>
                <m:sty m:val="p"/>
              </m:rPr>
              <m:t>−</m:t>
            </m:r>
            <m:r>
              <m:t>4</m:t>
            </m:r>
          </m:sup>
        </m:sSup>
      </m:oMath>
      <w:r>
        <w:t xml:space="preserve">, discount</w:t>
      </w:r>
      <w:r>
        <w:t xml:space="preserve"> </w:t>
      </w:r>
      <m:oMath>
        <m:r>
          <m:t>γ</m:t>
        </m:r>
        <m:r>
          <m:rPr>
            <m:sty m:val="p"/>
          </m:rPr>
          <m:t>=</m:t>
        </m:r>
        <m:r>
          <m:t>0.99</m:t>
        </m:r>
      </m:oMath>
      <w:r>
        <w:t xml:space="preserve">, GAE parameter</w:t>
      </w:r>
      <w:r>
        <w:t xml:space="preserve"> </w:t>
      </w:r>
      <m:oMath>
        <m:r>
          <m:t>λ</m:t>
        </m:r>
        <m:r>
          <m:rPr>
            <m:sty m:val="p"/>
          </m:rPr>
          <m:t>=</m:t>
        </m:r>
        <m:r>
          <m:t>0.95</m:t>
        </m:r>
      </m:oMath>
      <w:r>
        <w:t xml:space="preserve">, value-loss coefficient 0.5, and maximum gradient norm 0.5, for</w:t>
      </w:r>
      <w:r>
        <w:t xml:space="preserve"> </w:t>
      </w:r>
      <m:oMath>
        <m:r>
          <m:t>3</m:t>
        </m:r>
        <m:r>
          <m:rPr>
            <m:sty m:val="p"/>
          </m:rPr>
          <m:t>×</m:t>
        </m:r>
        <m:sSup>
          <m:e>
            <m:r>
              <m:t>10</m:t>
            </m:r>
          </m:e>
          <m:sup>
            <m:r>
              <m:t>6</m:t>
            </m:r>
          </m:sup>
        </m:sSup>
      </m:oMath>
      <w:r>
        <w:t xml:space="preserve"> </w:t>
      </w:r>
      <w:r>
        <w:t xml:space="preserve">environment timesteps (</w:t>
      </w:r>
      <w:r>
        <w:rPr>
          <w:rStyle w:val="VerbatimChar"/>
        </w:rPr>
        <w:t xml:space="preserve">configs/training.yaml</w:t>
      </w:r>
      <w:r>
        <w:t xml:space="preserve">)</w:t>
      </w:r>
      <w:r>
        <w:t xml:space="preserve"> </w:t>
      </w:r>
      <w:r>
        <w:t xml:space="preserve">(Schulman et al. 2017)</w:t>
      </w:r>
      <w:r>
        <w:t xml:space="preserve">.</w:t>
      </w:r>
      <w:r>
        <w:t xml:space="preserve"> </w:t>
      </w:r>
      <w:r>
        <w:rPr>
          <w:i/>
          <w:iCs/>
        </w:rPr>
        <w:t xml:space="preserve">[Note: this repository’s</w:t>
      </w:r>
      <w:r>
        <w:rPr>
          <w:i/>
          <w:iCs/>
        </w:rPr>
        <w:t xml:space="preserve"> </w:t>
      </w:r>
      <w:r>
        <w:rPr>
          <w:rStyle w:val="VerbatimChar"/>
          <w:i/>
          <w:iCs/>
        </w:rPr>
        <w:t xml:space="preserve">ent_coef</w:t>
      </w:r>
      <w:r>
        <w:rPr>
          <w:i/>
          <w:iCs/>
        </w:rPr>
        <w:t xml:space="preserve"> </w:t>
      </w:r>
      <w:r>
        <w:rPr>
          <w:i/>
          <w:iCs/>
        </w:rPr>
        <w:t xml:space="preserve">is 0.01; the companion paper reports 0.005 for the same hyperparameter – confirm which value the reference policy should use before final submission.]</w:t>
      </w:r>
    </w:p>
    <w:p>
      <w:pPr>
        <w:pStyle w:val="BodyText"/>
      </w:pPr>
      <w:r>
        <w:t xml:space="preserve">To probe online correction, a transient lateral force impulse is applied for six timesteps starting at</w:t>
      </w:r>
      <w:r>
        <w:t xml:space="preserve"> </w:t>
      </w:r>
      <m:oMath>
        <m:r>
          <m:t>t</m:t>
        </m:r>
        <m:r>
          <m:rPr>
            <m:sty m:val="p"/>
          </m:rPr>
          <m:t>=</m:t>
        </m:r>
        <m:r>
          <m:t>50</m:t>
        </m:r>
      </m:oMath>
      <w:r>
        <w:t xml:space="preserve">:</w:t>
      </w:r>
    </w:p>
    <w:p>
      <w:pPr>
        <w:pStyle w:val="BodyText"/>
      </w:pPr>
      <m:oMathPara>
        <m:oMathParaPr>
          <m:jc m:val="center"/>
        </m:oMathParaPr>
        <m:oMath>
          <m:sSub>
            <m:e>
              <m:r>
                <m:t>f</m:t>
              </m:r>
            </m:e>
            <m:sub>
              <m:r>
                <m:t>x</m:t>
              </m:r>
            </m:sub>
          </m:sSub>
          <m:r>
            <m:rPr>
              <m:sty m:val="p"/>
            </m:rPr>
            <m:t>(</m:t>
          </m:r>
          <m:r>
            <m:t>t</m:t>
          </m:r>
          <m:r>
            <m:rPr>
              <m:sty m:val="p"/>
            </m:rPr>
            <m:t>)</m:t>
          </m:r>
          <m:r>
            <m:rPr>
              <m:sty m:val="p"/>
            </m:rPr>
            <m:t>=</m:t>
          </m:r>
          <m:sSub>
            <m:e>
              <m:r>
                <m:t>p</m:t>
              </m:r>
            </m:e>
            <m:sub>
              <m:r>
                <m:t>i</m:t>
              </m:r>
            </m:sub>
          </m:sSub>
          <m:r>
            <m:rPr>
              <m:sty m:val="p"/>
            </m:rPr>
            <m:t>,</m:t>
          </m:r>
          <m:r>
            <m:t> </m:t>
          </m:r>
          <m:r>
            <m:t>t</m:t>
          </m:r>
          <m:r>
            <m:rPr>
              <m:sty m:val="p"/>
            </m:rPr>
            <m:t>∈</m:t>
          </m:r>
          <m:r>
            <m:rPr>
              <m:sty m:val="p"/>
            </m:rPr>
            <m:t>[</m:t>
          </m:r>
          <m:r>
            <m:t>50</m:t>
          </m:r>
          <m:r>
            <m:rPr>
              <m:sty m:val="p"/>
            </m:rPr>
            <m:t>,</m:t>
          </m:r>
          <m:r>
            <m:t>55</m:t>
          </m:r>
          <m:r>
            <m:rPr>
              <m:sty m:val="p"/>
            </m:rPr>
            <m:t>]</m:t>
          </m:r>
          <m:r>
            <m:rPr>
              <m:sty m:val="p"/>
            </m:rPr>
            <m:t>,</m:t>
          </m:r>
          <m:r>
            <m:t> </m:t>
          </m:r>
          <m:sSub>
            <m:e>
              <m:r>
                <m:t>p</m:t>
              </m:r>
            </m:e>
            <m:sub>
              <m:r>
                <m:t>i</m:t>
              </m:r>
            </m:sub>
          </m:sSub>
          <m:r>
            <m:rPr>
              <m:sty m:val="p"/>
            </m:rPr>
            <m:t>∈</m:t>
          </m:r>
          <m:r>
            <m:rPr>
              <m:sty m:val="p"/>
            </m:rPr>
            <m:t>{</m:t>
          </m:r>
          <m:r>
            <m:rPr>
              <m:sty m:val="p"/>
            </m:rPr>
            <m:t>±</m:t>
          </m:r>
          <m:r>
            <m:t>0.15</m:t>
          </m:r>
          <m:r>
            <m:rPr>
              <m:sty m:val="p"/>
            </m:rPr>
            <m:t>,</m:t>
          </m:r>
          <m:r>
            <m:rPr>
              <m:sty m:val="p"/>
            </m:rPr>
            <m:t>±</m:t>
          </m:r>
          <m:r>
            <m:t>0.30</m:t>
          </m:r>
          <m:r>
            <m:rPr>
              <m:sty m:val="p"/>
            </m:rPr>
            <m:t>,</m:t>
          </m:r>
          <m:r>
            <m:rPr>
              <m:sty m:val="p"/>
            </m:rPr>
            <m:t>±</m:t>
          </m:r>
          <m:r>
            <m:t>0.45</m:t>
          </m:r>
          <m:r>
            <m:rPr>
              <m:sty m:val="p"/>
            </m:rPr>
            <m:t>}</m:t>
          </m:r>
          <m:r>
            <m:rPr>
              <m:sty m:val="p"/>
            </m:rPr>
            <m:t>,</m:t>
          </m:r>
        </m:oMath>
      </m:oMathPara>
    </w:p>
    <w:p>
      <w:pPr>
        <w:pStyle w:val="FirstParagraph"/>
      </w:pPr>
      <w:r>
        <w:t xml:space="preserve">giving seven evaluation conditions: an unperturbed control (P0), three leftward magnitudes (L1-L3), and three rightward magnitudes (R1-R3). We treat the trained policy’s rollouts under each condition as reference trajectories: task-optimal movement paths, unconstrained by anatomy, against which human reach geometry can be compared for compensation.</w:t>
      </w:r>
    </w:p>
    <w:bookmarkEnd w:id="15"/>
    <w:bookmarkStart w:id="16" w:name="human-reach-kinematics-data"/>
    <w:p>
      <w:pPr>
        <w:pStyle w:val="Heading3"/>
      </w:pPr>
      <w:r>
        <w:t xml:space="preserve">Human reach-kinematics data</w:t>
      </w:r>
    </w:p>
    <w:p>
      <w:pPr>
        <w:pStyle w:val="FirstParagraph"/>
      </w:pPr>
      <w:r>
        <w:t xml:space="preserve">We use the Toronto Rehab Stroke Pose (TRSP) dataset</w:t>
      </w:r>
      <w:r>
        <w:t xml:space="preserve"> </w:t>
      </w:r>
      <w:r>
        <w:t xml:space="preserve">(Dolatabadi et al. 2017; Zhi et al. 2018)</w:t>
      </w:r>
      <w:r>
        <w:t xml:space="preserve">. It contains Kinect-derived 3-D joint-position time series (25-joint skeleton) for:</w:t>
      </w:r>
    </w:p>
    <w:p>
      <w:pPr>
        <w:pStyle w:val="Compact"/>
        <w:numPr>
          <w:ilvl w:val="0"/>
          <w:numId w:val="1002"/>
        </w:numPr>
      </w:pPr>
      <w:r>
        <w:t xml:space="preserve">10 healthy participants (H01–H10), each performing standardized forward/backward and side-to-side reaches under a natural condition and under three simulated compensations: forward trunk lean (</w:t>
      </w:r>
      <w:r>
        <w:rPr>
          <w:rStyle w:val="VerbatimChar"/>
        </w:rPr>
        <w:t xml:space="preserve">LnFwr</w:t>
      </w:r>
      <w:r>
        <w:t xml:space="preserve">), shoulder elevation (</w:t>
      </w:r>
      <w:r>
        <w:rPr>
          <w:rStyle w:val="VerbatimChar"/>
        </w:rPr>
        <w:t xml:space="preserve">ShElev</w:t>
      </w:r>
      <w:r>
        <w:t xml:space="preserve">), and trunk rotation (</w:t>
      </w:r>
      <w:r>
        <w:rPr>
          <w:rStyle w:val="VerbatimChar"/>
        </w:rPr>
        <w:t xml:space="preserve">TrRot</w:t>
      </w:r>
      <w:r>
        <w:t xml:space="preserve">), left and right (</w:t>
      </w:r>
      <w:r>
        <w:rPr>
          <w:rStyle w:val="VerbatimChar"/>
        </w:rPr>
        <w:t xml:space="preserve">_L</w:t>
      </w:r>
      <w:r>
        <w:t xml:space="preserve">/</w:t>
      </w:r>
      <w:r>
        <w:rPr>
          <w:rStyle w:val="VerbatimChar"/>
        </w:rPr>
        <w:t xml:space="preserve">_R</w:t>
      </w:r>
      <w:r>
        <w:t xml:space="preserve">).</w:t>
      </w:r>
    </w:p>
    <w:p>
      <w:pPr>
        <w:pStyle w:val="Compact"/>
        <w:numPr>
          <w:ilvl w:val="0"/>
          <w:numId w:val="1002"/>
        </w:numPr>
      </w:pPr>
      <w:r>
        <w:t xml:space="preserve">9 post-stroke participants (P01–P09) performing the same reach tasks without an instructed compensation strategy.</w:t>
      </w:r>
    </w:p>
    <w:p>
      <w:pPr>
        <w:pStyle w:val="FirstParagraph"/>
      </w:pPr>
      <w:r>
        <w:t xml:space="preserve">Each trial directory contains</w:t>
      </w:r>
      <w:r>
        <w:t xml:space="preserve"> </w:t>
      </w:r>
      <w:r>
        <w:rPr>
          <w:rStyle w:val="VerbatimChar"/>
        </w:rPr>
        <w:t xml:space="preserve">Joint_Positions.csv</w:t>
      </w:r>
      <w:r>
        <w:t xml:space="preserve"> </w:t>
      </w:r>
      <w:r>
        <w:t xml:space="preserve">(25 joints x 3 coordinates, stacked frame by frame) and</w:t>
      </w:r>
      <w:r>
        <w:t xml:space="preserve"> </w:t>
      </w:r>
      <w:r>
        <w:rPr>
          <w:rStyle w:val="VerbatimChar"/>
        </w:rPr>
        <w:t xml:space="preserve">Labels.csv</w:t>
      </w:r>
      <w:r>
        <w:t xml:space="preserve"> </w:t>
      </w:r>
      <w:r>
        <w:t xml:space="preserve">(one label per frame). The file schema is documented in</w:t>
      </w:r>
      <w:r>
        <w:t xml:space="preserve"> </w:t>
      </w:r>
      <w:r>
        <w:rPr>
          <w:rStyle w:val="VerbatimChar"/>
        </w:rPr>
        <w:t xml:space="preserve">data/raw/README.md</w:t>
      </w:r>
      <w:r>
        <w:t xml:space="preserve">.</w:t>
      </w:r>
    </w:p>
    <w:bookmarkEnd w:id="16"/>
    <w:bookmarkStart w:id="17" w:name="Xbee6053dbb1a694dafb233b3f0228112f62e0e8"/>
    <w:p>
      <w:pPr>
        <w:pStyle w:val="Heading3"/>
      </w:pPr>
      <w:r>
        <w:t xml:space="preserve">Trajectory alignment and compensation quantification</w:t>
      </w:r>
    </w:p>
    <w:p>
      <w:pPr>
        <w:pStyle w:val="FirstParagraph"/>
      </w:pPr>
      <w:r>
        <w:t xml:space="preserve">Human wrist trajectories are projected onto their own 2-D reach plane by PCA, resampled to a common time base, and rigidly aligned (translation + uniform scale) to the matching RL reference trajectory. We report a path-length ratio and the mean/max lateral deviation between the two. Three compensation features are computed per frame directly from the joint data: forward lean angle, trunk rotation angle, and shoulder elevation, following the compensation categories used to build the TRSP dataset</w:t>
      </w:r>
      <w:r>
        <w:t xml:space="preserve"> </w:t>
      </w:r>
      <w:r>
        <w:t xml:space="preserve">(Zhi et al. 2018)</w:t>
      </w:r>
      <w:r>
        <w:t xml:space="preserve">. This pipeline is implemented in</w:t>
      </w:r>
      <w:r>
        <w:t xml:space="preserve"> </w:t>
      </w:r>
      <w:r>
        <w:rPr>
          <w:rStyle w:val="VerbatimChar"/>
        </w:rPr>
        <w:t xml:space="preserve">src/clinical/</w:t>
      </w:r>
      <w:r>
        <w:t xml:space="preserve"> </w:t>
      </w:r>
      <w:r>
        <w:t xml:space="preserve">(</w:t>
      </w:r>
      <w:r>
        <w:rPr>
          <w:rStyle w:val="VerbatimChar"/>
        </w:rPr>
        <w:t xml:space="preserve">trsp_loader.py</w:t>
      </w:r>
      <w:r>
        <w:t xml:space="preserve">,</w:t>
      </w:r>
      <w:r>
        <w:t xml:space="preserve"> </w:t>
      </w:r>
      <w:r>
        <w:rPr>
          <w:rStyle w:val="VerbatimChar"/>
        </w:rPr>
        <w:t xml:space="preserve">compensation_metrics.py</w:t>
      </w:r>
      <w:r>
        <w:t xml:space="preserve">,</w:t>
      </w:r>
      <w:r>
        <w:t xml:space="preserve"> </w:t>
      </w:r>
      <w:r>
        <w:rPr>
          <w:rStyle w:val="VerbatimChar"/>
        </w:rPr>
        <w:t xml:space="preserve">trajectory_alignment.py</w:t>
      </w:r>
      <w:r>
        <w:t xml:space="preserve">,</w:t>
      </w:r>
      <w:r>
        <w:t xml:space="preserve"> </w:t>
      </w:r>
      <w:r>
        <w:rPr>
          <w:rStyle w:val="VerbatimChar"/>
        </w:rPr>
        <w:t xml:space="preserve">rl_reference.py</w:t>
      </w:r>
      <w:r>
        <w:t xml:space="preserve">).</w:t>
      </w:r>
      <w:r>
        <w:t xml:space="preserve"> </w:t>
      </w:r>
      <w:r>
        <w:rPr>
          <w:rStyle w:val="VerbatimChar"/>
        </w:rPr>
        <w:t xml:space="preserve">scripts/export_rl_reference.py</w:t>
      </w:r>
      <w:r>
        <w:t xml:space="preserve"> </w:t>
      </w:r>
      <w:r>
        <w:t xml:space="preserve">averages trained-policy rollouts (from</w:t>
      </w:r>
      <w:r>
        <w:t xml:space="preserve"> </w:t>
      </w:r>
      <w:r>
        <w:rPr>
          <w:rStyle w:val="VerbatimChar"/>
        </w:rPr>
        <w:t xml:space="preserve">scripts/evaluate.py</w:t>
      </w:r>
      <w:r>
        <w:t xml:space="preserve">) into a canonical reference path per perturbation condition, and</w:t>
      </w:r>
      <w:r>
        <w:t xml:space="preserve"> </w:t>
      </w:r>
      <w:r>
        <w:rPr>
          <w:rStyle w:val="VerbatimChar"/>
        </w:rPr>
        <w:t xml:space="preserve">scripts/compare_rl_vs_trsp.py</w:t>
      </w:r>
      <w:r>
        <w:t xml:space="preserve"> </w:t>
      </w:r>
      <w:r>
        <w:t xml:space="preserve">/</w:t>
      </w:r>
      <w:r>
        <w:t xml:space="preserve"> </w:t>
      </w:r>
      <w:r>
        <w:rPr>
          <w:rStyle w:val="VerbatimChar"/>
        </w:rPr>
        <w:t xml:space="preserve">scripts/batch_compare_rl_vs_trsp.py</w:t>
      </w:r>
      <w:r>
        <w:t xml:space="preserve"> </w:t>
      </w:r>
      <w:r>
        <w:t xml:space="preserve">run the single-trial and full-dataset comparison against that reference (falling back to a straight-line placeholder until a policy has been trained).</w:t>
      </w:r>
    </w:p>
    <w:bookmarkEnd w:id="17"/>
    <w:bookmarkStart w:id="18" w:name="wearable-sensor-framework"/>
    <w:p>
      <w:pPr>
        <w:pStyle w:val="Heading3"/>
      </w:pPr>
      <w:r>
        <w:t xml:space="preserve">Wearable sensor framework</w:t>
      </w:r>
    </w:p>
    <w:p>
      <w:pPr>
        <w:pStyle w:val="FirstParagraph"/>
      </w:pPr>
      <w:r>
        <w:t xml:space="preserve">We propose a motorized arm sleeve with three inertial measurement units (trunk, upper arm, forearm) to estimate the same three compensation features outside the lab, in real time. Sensor angles are compared continuously against the RL reference trajectory for the matching reach task; a deviation beyond a clinician-set tolerance triggers feedback. This extends the real-time visual-feedback approach shown to reduce compensatory motion in home-based exercise</w:t>
      </w:r>
      <w:r>
        <w:t xml:space="preserve"> </w:t>
      </w:r>
      <w:r>
        <w:t xml:space="preserve">(Lin et al. 2019)</w:t>
      </w:r>
      <w:r>
        <w:t xml:space="preserve"> </w:t>
      </w:r>
      <w:r>
        <w:t xml:space="preserve">to a model-based, condition-specific reference rather than a single fixed target. The proposed sensor set, microcontroller choice, and validation plan are detailed in</w:t>
      </w:r>
      <w:r>
        <w:t xml:space="preserve"> </w:t>
      </w:r>
      <w:r>
        <w:rPr>
          <w:rStyle w:val="VerbatimChar"/>
        </w:rPr>
        <w:t xml:space="preserve">docs/wearable_sleeve_hardware.md</w:t>
      </w:r>
      <w:r>
        <w:t xml:space="preserve">.</w:t>
      </w:r>
    </w:p>
    <w:p>
      <w:r>
        <w:pict>
          <v:rect style="width:0;height:1.5pt" o:hralign="center" o:hrstd="t" o:hr="t"/>
        </w:pict>
      </w:r>
    </w:p>
    <w:bookmarkEnd w:id="18"/>
    <w:bookmarkEnd w:id="19"/>
    <w:bookmarkStart w:id="20" w:name="results"/>
    <w:p>
      <w:pPr>
        <w:pStyle w:val="Heading2"/>
      </w:pPr>
      <w:r>
        <w:t xml:space="preserve">Results</w:t>
      </w:r>
    </w:p>
    <w:p>
      <w:pPr>
        <w:pStyle w:val="FirstParagraph"/>
      </w:pPr>
      <w:r>
        <w:rPr>
          <w:i/>
          <w:iCs/>
        </w:rPr>
        <w:t xml:space="preserve">[Phase 2: numbers below are pending a full RL training run. Do not fill in placeholder/smoke-test numbers as findings.]</w:t>
      </w:r>
    </w:p>
    <w:p>
      <w:pPr>
        <w:pStyle w:val="BodyText"/>
      </w:pPr>
      <w:r>
        <w:t xml:space="preserve">Once</w:t>
      </w:r>
      <w:r>
        <w:t xml:space="preserve"> </w:t>
      </w:r>
      <w:r>
        <w:rPr>
          <w:rStyle w:val="VerbatimChar"/>
        </w:rPr>
        <w:t xml:space="preserve">scripts/train.py</w:t>
      </w:r>
      <w:r>
        <w:t xml:space="preserve"> </w:t>
      </w:r>
      <w:r>
        <w:t xml:space="preserve">has been run to convergence (</w:t>
      </w:r>
      <w:r>
        <w:rPr>
          <w:rStyle w:val="VerbatimChar"/>
        </w:rPr>
        <w:t xml:space="preserve">configs/training.yaml</w:t>
      </w:r>
      <w:r>
        <w:t xml:space="preserve">: 3,000,000 timesteps) and</w:t>
      </w:r>
      <w:r>
        <w:t xml:space="preserve"> </w:t>
      </w:r>
      <w:r>
        <w:rPr>
          <w:rStyle w:val="VerbatimChar"/>
        </w:rPr>
        <w:t xml:space="preserve">scripts/export_rl_reference.py</w:t>
      </w:r>
      <w:r>
        <w:t xml:space="preserve"> </w:t>
      </w:r>
      <w:r>
        <w:t xml:space="preserve">has exported a real reference trajectory for each perturbation condition,</w:t>
      </w:r>
      <w:r>
        <w:t xml:space="preserve"> </w:t>
      </w:r>
      <w:r>
        <w:rPr>
          <w:rStyle w:val="VerbatimChar"/>
        </w:rPr>
        <w:t xml:space="preserve">scripts/batch_compare_rl_vs_trsp.py</w:t>
      </w:r>
      <w:r>
        <w:t xml:space="preserve"> </w:t>
      </w:r>
      <w:r>
        <w:t xml:space="preserve">produces one row per TRSP trial (149 trials: 10 healthy x up to 12 tasks, 9 post-stroke x variable repeated trials) in</w:t>
      </w:r>
      <w:r>
        <w:t xml:space="preserve"> </w:t>
      </w:r>
      <w:r>
        <w:rPr>
          <w:rStyle w:val="VerbatimChar"/>
        </w:rPr>
        <w:t xml:space="preserve">data/processed/rl_vs_trsp_summary.csv</w:t>
      </w:r>
      <w:r>
        <w:t xml:space="preserve">, with:</w:t>
      </w:r>
    </w:p>
    <w:p>
      <w:pPr>
        <w:pStyle w:val="Compact"/>
        <w:numPr>
          <w:ilvl w:val="0"/>
          <w:numId w:val="1003"/>
        </w:numPr>
      </w:pPr>
      <w:r>
        <w:rPr>
          <w:rStyle w:val="VerbatimChar"/>
        </w:rPr>
        <w:t xml:space="preserve">path_length_ratio</w:t>
      </w:r>
      <w:r>
        <w:t xml:space="preserve">,</w:t>
      </w:r>
      <w:r>
        <w:t xml:space="preserve"> </w:t>
      </w:r>
      <w:r>
        <w:rPr>
          <w:rStyle w:val="VerbatimChar"/>
        </w:rPr>
        <w:t xml:space="preserve">mean_lateral_deviation</w:t>
      </w:r>
      <w:r>
        <w:t xml:space="preserve">,</w:t>
      </w:r>
      <w:r>
        <w:t xml:space="preserve"> </w:t>
      </w:r>
      <w:r>
        <w:rPr>
          <w:rStyle w:val="VerbatimChar"/>
        </w:rPr>
        <w:t xml:space="preserve">max_lateral_deviation</w:t>
      </w:r>
      <w:r>
        <w:t xml:space="preserve"> </w:t>
      </w:r>
      <w:r>
        <w:t xml:space="preserve">per trial, comparing the projected wrist path against the matching RL reference condition.</w:t>
      </w:r>
    </w:p>
    <w:p>
      <w:pPr>
        <w:pStyle w:val="Compact"/>
        <w:numPr>
          <w:ilvl w:val="0"/>
          <w:numId w:val="1003"/>
        </w:numPr>
      </w:pPr>
      <w:r>
        <w:rPr>
          <w:rStyle w:val="VerbatimChar"/>
        </w:rPr>
        <w:t xml:space="preserve">mean_lean_deg</w:t>
      </w:r>
      <w:r>
        <w:t xml:space="preserve">,</w:t>
      </w:r>
      <w:r>
        <w:t xml:space="preserve"> </w:t>
      </w:r>
      <w:r>
        <w:rPr>
          <w:rStyle w:val="VerbatimChar"/>
        </w:rPr>
        <w:t xml:space="preserve">mean_trunk_rot_deg</w:t>
      </w:r>
      <w:r>
        <w:t xml:space="preserve">,</w:t>
      </w:r>
      <w:r>
        <w:t xml:space="preserve"> </w:t>
      </w:r>
      <w:r>
        <w:rPr>
          <w:rStyle w:val="VerbatimChar"/>
        </w:rPr>
        <w:t xml:space="preserve">mean_shoulder_elev</w:t>
      </w:r>
      <w:r>
        <w:t xml:space="preserve"> </w:t>
      </w:r>
      <w:r>
        <w:t xml:space="preserve">per trial, from</w:t>
      </w:r>
      <w:r>
        <w:t xml:space="preserve"> </w:t>
      </w:r>
      <w:r>
        <w:rPr>
          <w:rStyle w:val="VerbatimChar"/>
        </w:rPr>
        <w:t xml:space="preserve">compensation_metrics.py</w:t>
      </w:r>
      <w:r>
        <w:t xml:space="preserve">.</w:t>
      </w:r>
    </w:p>
    <w:p>
      <w:pPr>
        <w:pStyle w:val="FirstParagraph"/>
      </w:pPr>
      <w:r>
        <w:t xml:space="preserve">This section will report: (1) path-length ratio and lateral deviation for healthy natural-reach trials vs. the P0 (unperturbed) RL reference, establishing a baseline; (2) the same metrics for healthy simulated-compensation trials (</w:t>
      </w:r>
      <w:r>
        <w:rPr>
          <w:rStyle w:val="VerbatimChar"/>
        </w:rPr>
        <w:t xml:space="preserve">LnFwr</w:t>
      </w:r>
      <w:r>
        <w:t xml:space="preserve">,</w:t>
      </w:r>
      <w:r>
        <w:t xml:space="preserve"> </w:t>
      </w:r>
      <w:r>
        <w:rPr>
          <w:rStyle w:val="VerbatimChar"/>
        </w:rPr>
        <w:t xml:space="preserve">ShElev</w:t>
      </w:r>
      <w:r>
        <w:t xml:space="preserve">,</w:t>
      </w:r>
      <w:r>
        <w:t xml:space="preserve"> </w:t>
      </w:r>
      <w:r>
        <w:rPr>
          <w:rStyle w:val="VerbatimChar"/>
        </w:rPr>
        <w:t xml:space="preserve">TrRot</w:t>
      </w:r>
      <w:r>
        <w:t xml:space="preserve">), to confirm the pipeline detects known, instructed compensations as larger deviations than the natural-reach baseline; (3) the same metrics for post-stroke trials, to test whether uninstructed compensation in this group falls closer to the simulated-compensation range than to the healthy-natural range; and (4) whether comparing against graded perturbation conditions (L1-L3, R1-R3) rather than only P0 changes the group separation.</w:t>
      </w:r>
    </w:p>
    <w:bookmarkEnd w:id="20"/>
    <w:bookmarkStart w:id="21" w:name="discussion"/>
    <w:p>
      <w:pPr>
        <w:pStyle w:val="Heading2"/>
      </w:pPr>
      <w:r>
        <w:t xml:space="preserve">Discussion</w:t>
      </w:r>
    </w:p>
    <w:p>
      <w:pPr>
        <w:pStyle w:val="FirstParagraph"/>
      </w:pPr>
      <w:r>
        <w:rPr>
          <w:i/>
          <w:iCs/>
        </w:rPr>
        <w:t xml:space="preserve">[Phase 2: to be added, once Results are populated with a real training run.]</w:t>
      </w:r>
    </w:p>
    <w:bookmarkEnd w:id="21"/>
    <w:bookmarkStart w:id="22" w:name="acknowledgements"/>
    <w:p>
      <w:pPr>
        <w:pStyle w:val="Heading2"/>
      </w:pPr>
      <w:r>
        <w:t xml:space="preserve">Acknowledgements</w:t>
      </w:r>
    </w:p>
    <w:p>
      <w:pPr>
        <w:pStyle w:val="FirstParagraph"/>
      </w:pPr>
      <w:r>
        <w:t xml:space="preserve">This work was supported in part by the Connected Minds Program, Canada First Research Excellence Fund, Grant No. CFREF-2022-00010.</w:t>
      </w:r>
    </w:p>
    <w:bookmarkEnd w:id="22"/>
    <w:bookmarkStart w:id="57" w:name="references"/>
    <w:p>
      <w:pPr>
        <w:pStyle w:val="Heading2"/>
      </w:pPr>
      <w:r>
        <w:t xml:space="preserve">References</w:t>
      </w:r>
    </w:p>
    <w:p>
      <w:pPr>
        <w:pStyle w:val="FirstParagraph"/>
      </w:pPr>
      <w:r>
        <w:t xml:space="preserve">See</w:t>
      </w:r>
      <w:r>
        <w:t xml:space="preserve"> </w:t>
      </w:r>
      <w:r>
        <w:rPr>
          <w:rStyle w:val="VerbatimChar"/>
        </w:rPr>
        <w:t xml:space="preserve">paper/references.bib</w:t>
      </w:r>
      <w:r>
        <w:t xml:space="preserve">.</w:t>
      </w:r>
    </w:p>
    <w:bookmarkStart w:id="56" w:name="refs"/>
    <w:bookmarkStart w:id="24" w:name="ref-Averta2018"/>
    <w:p>
      <w:pPr>
        <w:pStyle w:val="Bibliography"/>
      </w:pPr>
      <w:r>
        <w:t xml:space="preserve">Averta, Giuseppe, Federica Angelini, Antonio Bicchi, Matteo Bianchi, and Edoardo Battaglia. 2018.</w:t>
      </w:r>
      <w:r>
        <w:t xml:space="preserve"> </w:t>
      </w:r>
      <w:r>
        <w:t xml:space="preserve">“On the Role of Postural Synergies for Grasp Force Generation and Upper Limb Motion Control.”</w:t>
      </w:r>
      <w:r>
        <w:t xml:space="preserve"> </w:t>
      </w:r>
      <w:r>
        <w:t xml:space="preserve">In</w:t>
      </w:r>
      <w:r>
        <w:t xml:space="preserve"> </w:t>
      </w:r>
      <w:r>
        <w:rPr>
          <w:i/>
          <w:iCs/>
        </w:rPr>
        <w:t xml:space="preserve">Converging Clinical and Engineering Research on Neurorehabilitation III</w:t>
      </w:r>
      <w:r>
        <w:t xml:space="preserve">. Springer.</w:t>
      </w:r>
      <w:r>
        <w:t xml:space="preserve"> </w:t>
      </w:r>
      <w:hyperlink r:id="rId23">
        <w:r>
          <w:rPr>
            <w:rStyle w:val="Hyperlink"/>
          </w:rPr>
          <w:t xml:space="preserve">https://doi.org/10.1007/978-3-030-01845-0_69</w:t>
        </w:r>
      </w:hyperlink>
      <w:r>
        <w:t xml:space="preserve">.</w:t>
      </w:r>
    </w:p>
    <w:bookmarkEnd w:id="24"/>
    <w:bookmarkStart w:id="26" w:name="ref-Chinagorom2025"/>
    <w:p>
      <w:pPr>
        <w:pStyle w:val="Bibliography"/>
      </w:pPr>
      <w:r>
        <w:t xml:space="preserve">Chinagorom, Ibeachu P., and Peter Oseghale Ohue. 2025.</w:t>
      </w:r>
      <w:r>
        <w:t xml:space="preserve"> </w:t>
      </w:r>
      <w:r>
        <w:t xml:space="preserve">“Integrating Computational Neuroscience into Africa’s Academic Curriculum: Challenges, Opportunities, and Strategic Implementation.”</w:t>
      </w:r>
      <w:r>
        <w:t xml:space="preserve"> </w:t>
      </w:r>
      <w:r>
        <w:rPr>
          <w:i/>
          <w:iCs/>
        </w:rPr>
        <w:t xml:space="preserve">Journal of Computational Neuroscience</w:t>
      </w:r>
      <w:r>
        <w:t xml:space="preserve"> </w:t>
      </w:r>
      <w:r>
        <w:t xml:space="preserve">53 (3): 393–95.</w:t>
      </w:r>
      <w:r>
        <w:t xml:space="preserve"> </w:t>
      </w:r>
      <w:hyperlink r:id="rId25">
        <w:r>
          <w:rPr>
            <w:rStyle w:val="Hyperlink"/>
          </w:rPr>
          <w:t xml:space="preserve">https://doi.org/10.1007/s10827-025-00906-5</w:t>
        </w:r>
      </w:hyperlink>
      <w:r>
        <w:t xml:space="preserve">.</w:t>
      </w:r>
    </w:p>
    <w:bookmarkEnd w:id="26"/>
    <w:bookmarkStart w:id="28" w:name="ref-Dolatabadi2017"/>
    <w:p>
      <w:pPr>
        <w:pStyle w:val="Bibliography"/>
      </w:pPr>
      <w:r>
        <w:t xml:space="preserve">Dolatabadi, Elham, Ying Xiao Zhi, Michael Lukasik, Michelle H. Li, Rosalie H. Wang, and Babak Taati. 2017.</w:t>
      </w:r>
      <w:r>
        <w:t xml:space="preserve"> </w:t>
      </w:r>
      <w:r>
        <w:t xml:space="preserve">“The Toronto Rehab Stroke Pose Dataset to Detect Compensation During Stroke Rehabilitation Therapy.”</w:t>
      </w:r>
      <w:r>
        <w:t xml:space="preserve"> </w:t>
      </w:r>
      <w:r>
        <w:rPr>
          <w:i/>
          <w:iCs/>
        </w:rPr>
        <w:t xml:space="preserve">Proceedings of the 19th ACM International Conference on Multimodal Interaction</w:t>
      </w:r>
      <w:r>
        <w:t xml:space="preserve">, 477–81.</w:t>
      </w:r>
      <w:r>
        <w:t xml:space="preserve"> </w:t>
      </w:r>
      <w:hyperlink r:id="rId27">
        <w:r>
          <w:rPr>
            <w:rStyle w:val="Hyperlink"/>
          </w:rPr>
          <w:t xml:space="preserve">https://doi.org/10.1145/3136755.3136817</w:t>
        </w:r>
      </w:hyperlink>
      <w:r>
        <w:t xml:space="preserve">.</w:t>
      </w:r>
    </w:p>
    <w:bookmarkEnd w:id="28"/>
    <w:bookmarkStart w:id="30" w:name="ref-Gowland1993"/>
    <w:p>
      <w:pPr>
        <w:pStyle w:val="Bibliography"/>
      </w:pPr>
      <w:r>
        <w:t xml:space="preserve">Gowland, Carolyn, Paul Stratford, Maureen Ward, et al. 1993.</w:t>
      </w:r>
      <w:r>
        <w:t xml:space="preserve"> </w:t>
      </w:r>
      <w:r>
        <w:t xml:space="preserve">“Measuring Physical Impairment and Disability with the Chedoke-McMaster Stroke Assessment.”</w:t>
      </w:r>
      <w:r>
        <w:t xml:space="preserve"> </w:t>
      </w:r>
      <w:r>
        <w:rPr>
          <w:i/>
          <w:iCs/>
        </w:rPr>
        <w:t xml:space="preserve">Stroke</w:t>
      </w:r>
      <w:r>
        <w:t xml:space="preserve"> </w:t>
      </w:r>
      <w:r>
        <w:t xml:space="preserve">24 (1): 58–63.</w:t>
      </w:r>
      <w:r>
        <w:t xml:space="preserve"> </w:t>
      </w:r>
      <w:hyperlink r:id="rId29">
        <w:r>
          <w:rPr>
            <w:rStyle w:val="Hyperlink"/>
          </w:rPr>
          <w:t xml:space="preserve">https://doi.org/10.1161/01.STR.24.1.58</w:t>
        </w:r>
      </w:hyperlink>
      <w:r>
        <w:t xml:space="preserve">.</w:t>
      </w:r>
    </w:p>
    <w:bookmarkEnd w:id="30"/>
    <w:bookmarkStart w:id="32" w:name="ref-Hu2018"/>
    <w:p>
      <w:pPr>
        <w:pStyle w:val="Bibliography"/>
      </w:pPr>
      <w:r>
        <w:t xml:space="preserve">Hu, Tianyu, Jasmin Kuehn, and Sami Haddadin. 2018.</w:t>
      </w:r>
      <w:r>
        <w:t xml:space="preserve"> </w:t>
      </w:r>
      <w:r>
        <w:t xml:space="preserve">“Identification of Human Shoulder-Arm Kinematic and Muscular Synergies During Daily-Life Manipulation Tasks.”</w:t>
      </w:r>
      <w:r>
        <w:t xml:space="preserve"> </w:t>
      </w:r>
      <w:r>
        <w:rPr>
          <w:i/>
          <w:iCs/>
        </w:rPr>
        <w:t xml:space="preserve">2018 7th IEEE International Conference on Biomedical Robotics and Biomechatronics (Biorob)</w:t>
      </w:r>
      <w:r>
        <w:t xml:space="preserve">, 1011–18.</w:t>
      </w:r>
      <w:r>
        <w:t xml:space="preserve"> </w:t>
      </w:r>
      <w:hyperlink r:id="rId31">
        <w:r>
          <w:rPr>
            <w:rStyle w:val="Hyperlink"/>
          </w:rPr>
          <w:t xml:space="preserve">https://doi.org/10.1109/BIOROB.2018.8487190</w:t>
        </w:r>
      </w:hyperlink>
      <w:r>
        <w:t xml:space="preserve">.</w:t>
      </w:r>
    </w:p>
    <w:bookmarkEnd w:id="32"/>
    <w:bookmarkStart w:id="34" w:name="ref-JarqueBou2019"/>
    <w:p>
      <w:pPr>
        <w:pStyle w:val="Bibliography"/>
      </w:pPr>
      <w:r>
        <w:t xml:space="preserve">Jarque-Bou, Néstor J., Margarita Vergara, Joaquín L. Sancho-Bru, Verónica Gracia-Ibáñez, Alba Roda-Sales, and Christina A. Sheets-Hamilton. 2019.</w:t>
      </w:r>
      <w:r>
        <w:t xml:space="preserve"> </w:t>
      </w:r>
      <w:r>
        <w:t xml:space="preserve">“A Calibrated Database of Kinematics and EMG of the Forearm and Hand During Activities of Daily Living.”</w:t>
      </w:r>
      <w:r>
        <w:t xml:space="preserve"> </w:t>
      </w:r>
      <w:r>
        <w:rPr>
          <w:i/>
          <w:iCs/>
        </w:rPr>
        <w:t xml:space="preserve">Scientific Data</w:t>
      </w:r>
      <w:r>
        <w:t xml:space="preserve"> </w:t>
      </w:r>
      <w:r>
        <w:t xml:space="preserve">6: 270.</w:t>
      </w:r>
      <w:r>
        <w:t xml:space="preserve"> </w:t>
      </w:r>
      <w:hyperlink r:id="rId33">
        <w:r>
          <w:rPr>
            <w:rStyle w:val="Hyperlink"/>
          </w:rPr>
          <w:t xml:space="preserve">https://doi.org/10.1038/s41597-019-0285-1</w:t>
        </w:r>
      </w:hyperlink>
      <w:r>
        <w:t xml:space="preserve">.</w:t>
      </w:r>
    </w:p>
    <w:bookmarkEnd w:id="34"/>
    <w:bookmarkStart w:id="36" w:name="ref-Kuriakose2020"/>
    <w:p>
      <w:pPr>
        <w:pStyle w:val="Bibliography"/>
      </w:pPr>
      <w:r>
        <w:t xml:space="preserve">Kuriakose, Deepak, and Zhicheng Xiao. 2020.</w:t>
      </w:r>
      <w:r>
        <w:t xml:space="preserve"> </w:t>
      </w:r>
      <w:r>
        <w:t xml:space="preserve">“Pathophysiology and Treatment of Stroke: Present Status and Future Perspectives.”</w:t>
      </w:r>
      <w:r>
        <w:t xml:space="preserve"> </w:t>
      </w:r>
      <w:r>
        <w:rPr>
          <w:i/>
          <w:iCs/>
        </w:rPr>
        <w:t xml:space="preserve">International Journal of Molecular Sciences</w:t>
      </w:r>
      <w:r>
        <w:t xml:space="preserve"> </w:t>
      </w:r>
      <w:r>
        <w:t xml:space="preserve">21 (20): 7609.</w:t>
      </w:r>
      <w:r>
        <w:t xml:space="preserve"> </w:t>
      </w:r>
      <w:hyperlink r:id="rId35">
        <w:r>
          <w:rPr>
            <w:rStyle w:val="Hyperlink"/>
          </w:rPr>
          <w:t xml:space="preserve">https://doi.org/10.3390/ijms21207609</w:t>
        </w:r>
      </w:hyperlink>
      <w:r>
        <w:t xml:space="preserve">.</w:t>
      </w:r>
    </w:p>
    <w:bookmarkEnd w:id="36"/>
    <w:bookmarkStart w:id="38" w:name="ref-Lin2019"/>
    <w:p>
      <w:pPr>
        <w:pStyle w:val="Bibliography"/>
      </w:pPr>
      <w:r>
        <w:t xml:space="preserve">Lin, Sarah, Jack Mann, Avril Mansfield, Rosalie H. Wang, Jocelyn E. Harris, and Babak Taati. 2019.</w:t>
      </w:r>
      <w:r>
        <w:t xml:space="preserve"> </w:t>
      </w:r>
      <w:r>
        <w:t xml:space="preserve">“Investigating the Feasibility and Acceptability of Real-Time Visual Feedback in Reducing Compensatory Motions During Self-Administered Stroke Rehabilitation Exercises: A Pilot Study with Chronic Stroke Survivors.”</w:t>
      </w:r>
      <w:r>
        <w:t xml:space="preserve"> </w:t>
      </w:r>
      <w:r>
        <w:rPr>
          <w:i/>
          <w:iCs/>
        </w:rPr>
        <w:t xml:space="preserve">Journal of Rehabilitation and Assistive Technologies Engineering</w:t>
      </w:r>
      <w:r>
        <w:t xml:space="preserve"> </w:t>
      </w:r>
      <w:r>
        <w:t xml:space="preserve">6: 2055668319831631.</w:t>
      </w:r>
      <w:r>
        <w:t xml:space="preserve"> </w:t>
      </w:r>
      <w:hyperlink r:id="rId37">
        <w:r>
          <w:rPr>
            <w:rStyle w:val="Hyperlink"/>
          </w:rPr>
          <w:t xml:space="preserve">https://doi.org/10.1177/2055668319831631</w:t>
        </w:r>
      </w:hyperlink>
      <w:r>
        <w:t xml:space="preserve">.</w:t>
      </w:r>
    </w:p>
    <w:bookmarkEnd w:id="38"/>
    <w:bookmarkStart w:id="40" w:name="ref-Lu2012"/>
    <w:p>
      <w:pPr>
        <w:pStyle w:val="Bibliography"/>
      </w:pPr>
      <w:r>
        <w:t xml:space="preserve">Lu, Edward C., Rosalie Wang, Rajibul Huq, et al. 2012.</w:t>
      </w:r>
      <w:r>
        <w:t xml:space="preserve"> </w:t>
      </w:r>
      <w:r>
        <w:t xml:space="preserve">“Development of a Robotic Device for Upper Limb Stroke Rehabilitation: A User-Centered Design Approach.”</w:t>
      </w:r>
      <w:r>
        <w:t xml:space="preserve"> </w:t>
      </w:r>
      <w:r>
        <w:rPr>
          <w:i/>
          <w:iCs/>
        </w:rPr>
        <w:t xml:space="preserve">Paladyn, Journal of Behavioral Robotics</w:t>
      </w:r>
      <w:r>
        <w:t xml:space="preserve"> </w:t>
      </w:r>
      <w:r>
        <w:t xml:space="preserve">2 (4): 176–84.</w:t>
      </w:r>
      <w:r>
        <w:t xml:space="preserve"> </w:t>
      </w:r>
      <w:hyperlink r:id="rId39">
        <w:r>
          <w:rPr>
            <w:rStyle w:val="Hyperlink"/>
          </w:rPr>
          <w:t xml:space="preserve">https://doi.org/10.2478/s13230-012-0009-2</w:t>
        </w:r>
      </w:hyperlink>
      <w:r>
        <w:t xml:space="preserve">.</w:t>
      </w:r>
    </w:p>
    <w:bookmarkEnd w:id="40"/>
    <w:bookmarkStart w:id="42" w:name="ref-Lucchetti2025"/>
    <w:p>
      <w:pPr>
        <w:pStyle w:val="Bibliography"/>
      </w:pPr>
      <w:r>
        <w:t xml:space="preserve">Lucchetti, Federica, Guglielmo Bailo, Monia Cabinio, et al. 2025.</w:t>
      </w:r>
      <w:r>
        <w:t xml:space="preserve"> </w:t>
      </w:r>
      <w:r>
        <w:t xml:space="preserve">“A Kinematic and EMG Dataset for Upper Limb and Hand Movement Analysis in Post-Stroke and Healthy Subjects.”</w:t>
      </w:r>
      <w:r>
        <w:t xml:space="preserve"> </w:t>
      </w:r>
      <w:r>
        <w:rPr>
          <w:i/>
          <w:iCs/>
        </w:rPr>
        <w:t xml:space="preserve">Scientific Data</w:t>
      </w:r>
      <w:r>
        <w:t xml:space="preserve"> </w:t>
      </w:r>
      <w:r>
        <w:t xml:space="preserve">12 (1): 949.</w:t>
      </w:r>
      <w:r>
        <w:t xml:space="preserve"> </w:t>
      </w:r>
      <w:hyperlink r:id="rId41">
        <w:r>
          <w:rPr>
            <w:rStyle w:val="Hyperlink"/>
          </w:rPr>
          <w:t xml:space="preserve">https://doi.org/10.1038/s41597-025-05186-8</w:t>
        </w:r>
      </w:hyperlink>
      <w:r>
        <w:t xml:space="preserve">.</w:t>
      </w:r>
    </w:p>
    <w:bookmarkEnd w:id="42"/>
    <w:bookmarkStart w:id="44" w:name="ref-Mehrholz2015"/>
    <w:p>
      <w:pPr>
        <w:pStyle w:val="Bibliography"/>
      </w:pPr>
      <w:r>
        <w:t xml:space="preserve">Mehrholz, Jan, Marcus Pohl, Thomas Platz, Joachim Kugler, and Bernhard Elsner. 2015.</w:t>
      </w:r>
      <w:r>
        <w:t xml:space="preserve"> </w:t>
      </w:r>
      <w:r>
        <w:t xml:space="preserve">“Electromechanical and Robot-Assisted Arm Training for Improving Activities of Daily Living, Arm Function, and Arm Muscle Strength After Stroke.”</w:t>
      </w:r>
      <w:r>
        <w:t xml:space="preserve"> </w:t>
      </w:r>
      <w:r>
        <w:rPr>
          <w:i/>
          <w:iCs/>
        </w:rPr>
        <w:t xml:space="preserve">Cochrane Database of Systematic Reviews</w:t>
      </w:r>
      <w:r>
        <w:t xml:space="preserve">, no. 11: CD006876.</w:t>
      </w:r>
      <w:r>
        <w:t xml:space="preserve"> </w:t>
      </w:r>
      <w:hyperlink r:id="rId43">
        <w:r>
          <w:rPr>
            <w:rStyle w:val="Hyperlink"/>
          </w:rPr>
          <w:t xml:space="preserve">https://doi.org/10.1002/14651858.CD006876.pub4</w:t>
        </w:r>
      </w:hyperlink>
      <w:r>
        <w:t xml:space="preserve">.</w:t>
      </w:r>
    </w:p>
    <w:bookmarkEnd w:id="44"/>
    <w:bookmarkStart w:id="45" w:name="ref-OhuePythonUnpub"/>
    <w:p>
      <w:pPr>
        <w:pStyle w:val="Bibliography"/>
      </w:pPr>
      <w:r>
        <w:t xml:space="preserve">Ohue, Peter. 2026.</w:t>
      </w:r>
      <w:r>
        <w:t xml:space="preserve"> </w:t>
      </w:r>
      <w:r>
        <w:rPr>
          <w:i/>
          <w:iCs/>
        </w:rPr>
        <w:t xml:space="preserve">Python for Computational Neuroscience</w:t>
      </w:r>
      <w:r>
        <w:t xml:space="preserve">.</w:t>
      </w:r>
    </w:p>
    <w:bookmarkEnd w:id="45"/>
    <w:bookmarkStart w:id="46" w:name="ref-Ohue2026"/>
    <w:p>
      <w:pPr>
        <w:pStyle w:val="Bibliography"/>
      </w:pPr>
      <w:r>
        <w:t xml:space="preserve">Ohue, Peter, Emily Oby, and Gunnar Blohm. 2026.</w:t>
      </w:r>
      <w:r>
        <w:t xml:space="preserve"> </w:t>
      </w:r>
      <w:r>
        <w:rPr>
          <w:i/>
          <w:iCs/>
        </w:rPr>
        <w:t xml:space="preserve">Neural Population Dynamics Reveal Internal Representations Underlying Adaptive Obstacle Avoidance in Reinforcement Learning</w:t>
      </w:r>
      <w:r>
        <w:t xml:space="preserve">.</w:t>
      </w:r>
    </w:p>
    <w:bookmarkEnd w:id="46"/>
    <w:bookmarkStart w:id="48" w:name="ref-Saudabayev2018"/>
    <w:p>
      <w:pPr>
        <w:pStyle w:val="Bibliography"/>
      </w:pPr>
      <w:r>
        <w:t xml:space="preserve">Saudabayev, Artur, Zhanibek Rysbek, Raykhan Khassenova, and Huseyin Atakan Varol. 2018.</w:t>
      </w:r>
      <w:r>
        <w:t xml:space="preserve"> </w:t>
      </w:r>
      <w:r>
        <w:t xml:space="preserve">“Human Grasping Database for Activities of Daily Living with Depth, Color and Kinematic Data Streams.”</w:t>
      </w:r>
      <w:r>
        <w:t xml:space="preserve"> </w:t>
      </w:r>
      <w:r>
        <w:rPr>
          <w:i/>
          <w:iCs/>
        </w:rPr>
        <w:t xml:space="preserve">Scientific Data</w:t>
      </w:r>
      <w:r>
        <w:t xml:space="preserve"> </w:t>
      </w:r>
      <w:r>
        <w:t xml:space="preserve">5: 180101.</w:t>
      </w:r>
      <w:r>
        <w:t xml:space="preserve"> </w:t>
      </w:r>
      <w:hyperlink r:id="rId47">
        <w:r>
          <w:rPr>
            <w:rStyle w:val="Hyperlink"/>
          </w:rPr>
          <w:t xml:space="preserve">https://doi.org/10.1038/sdata.2018.101</w:t>
        </w:r>
      </w:hyperlink>
      <w:r>
        <w:t xml:space="preserve">.</w:t>
      </w:r>
    </w:p>
    <w:bookmarkEnd w:id="48"/>
    <w:bookmarkStart w:id="49" w:name="ref-Schulman2017"/>
    <w:p>
      <w:pPr>
        <w:pStyle w:val="Bibliography"/>
      </w:pPr>
      <w:r>
        <w:t xml:space="preserve">Schulman, John, Filip Wolski, Prafulla Dhariwal, Alec Radford, and Oleg Klimov. 2017.</w:t>
      </w:r>
      <w:r>
        <w:t xml:space="preserve"> </w:t>
      </w:r>
      <w:r>
        <w:t xml:space="preserve">“Proximal Policy Optimization Algorithms.”</w:t>
      </w:r>
      <w:r>
        <w:t xml:space="preserve"> </w:t>
      </w:r>
      <w:r>
        <w:rPr>
          <w:i/>
          <w:iCs/>
        </w:rPr>
        <w:t xml:space="preserve">arXiv Preprint arXiv:1707.06347</w:t>
      </w:r>
      <w:r>
        <w:t xml:space="preserve">.</w:t>
      </w:r>
    </w:p>
    <w:bookmarkEnd w:id="49"/>
    <w:bookmarkStart w:id="51" w:name="ref-Sugawara2018"/>
    <w:p>
      <w:pPr>
        <w:pStyle w:val="Bibliography"/>
      </w:pPr>
      <w:r>
        <w:t xml:space="preserve">Sugawara, André T., Vinícius D. Ramos, Fábio M. Alfieri, and Linamara R. Battistella. 2018.</w:t>
      </w:r>
      <w:r>
        <w:t xml:space="preserve"> </w:t>
      </w:r>
      <w:r>
        <w:t xml:space="preserve">“Abandonment of Assistive Products: Assessing Abandonment Levels and Factors That Impact on It.”</w:t>
      </w:r>
      <w:r>
        <w:t xml:space="preserve"> </w:t>
      </w:r>
      <w:r>
        <w:rPr>
          <w:i/>
          <w:iCs/>
        </w:rPr>
        <w:t xml:space="preserve">Disability and Rehabilitation: Assistive Technology</w:t>
      </w:r>
      <w:r>
        <w:t xml:space="preserve"> </w:t>
      </w:r>
      <w:r>
        <w:t xml:space="preserve">13 (7): 716–23.</w:t>
      </w:r>
      <w:r>
        <w:t xml:space="preserve"> </w:t>
      </w:r>
      <w:hyperlink r:id="rId50">
        <w:r>
          <w:rPr>
            <w:rStyle w:val="Hyperlink"/>
          </w:rPr>
          <w:t xml:space="preserve">https://doi.org/10.1080/17483107.2018.1425748</w:t>
        </w:r>
      </w:hyperlink>
      <w:r>
        <w:t xml:space="preserve">.</w:t>
      </w:r>
    </w:p>
    <w:bookmarkEnd w:id="51"/>
    <w:bookmarkStart w:id="53" w:name="ref-Takeuchi2013"/>
    <w:p>
      <w:pPr>
        <w:pStyle w:val="Bibliography"/>
      </w:pPr>
      <w:r>
        <w:t xml:space="preserve">Takeuchi, Naoyuki, and Shin-Ichi Izumi. 2013.</w:t>
      </w:r>
      <w:r>
        <w:t xml:space="preserve"> </w:t>
      </w:r>
      <w:r>
        <w:t xml:space="preserve">“Rehabilitation with Poststroke Motor Recovery: A Review with a Focus on Neural Plasticity.”</w:t>
      </w:r>
      <w:r>
        <w:t xml:space="preserve"> </w:t>
      </w:r>
      <w:r>
        <w:rPr>
          <w:i/>
          <w:iCs/>
        </w:rPr>
        <w:t xml:space="preserve">Stroke Research and Treatment</w:t>
      </w:r>
      <w:r>
        <w:t xml:space="preserve"> </w:t>
      </w:r>
      <w:r>
        <w:t xml:space="preserve">2013: 128641.</w:t>
      </w:r>
      <w:r>
        <w:t xml:space="preserve"> </w:t>
      </w:r>
      <w:hyperlink r:id="rId52">
        <w:r>
          <w:rPr>
            <w:rStyle w:val="Hyperlink"/>
          </w:rPr>
          <w:t xml:space="preserve">https://doi.org/10.1155/2013/128641</w:t>
        </w:r>
      </w:hyperlink>
      <w:r>
        <w:t xml:space="preserve">.</w:t>
      </w:r>
    </w:p>
    <w:bookmarkEnd w:id="53"/>
    <w:bookmarkStart w:id="55" w:name="ref-Zhi2018"/>
    <w:p>
      <w:pPr>
        <w:pStyle w:val="Bibliography"/>
      </w:pPr>
      <w:r>
        <w:t xml:space="preserve">Zhi, Ying Xiao, Michael Lukasik, Michelle H. Li, Elham Dolatabadi, Rosalie H. Wang, and Babak Taati. 2018.</w:t>
      </w:r>
      <w:r>
        <w:t xml:space="preserve"> </w:t>
      </w:r>
      <w:r>
        <w:t xml:space="preserve">“Automatic Detection of Compensation During Robotic Stroke Rehabilitation Therapy.”</w:t>
      </w:r>
      <w:r>
        <w:t xml:space="preserve"> </w:t>
      </w:r>
      <w:r>
        <w:rPr>
          <w:i/>
          <w:iCs/>
        </w:rPr>
        <w:t xml:space="preserve">IEEE Journal of Translational Engineering in Health and Medicine</w:t>
      </w:r>
      <w:r>
        <w:t xml:space="preserve"> </w:t>
      </w:r>
      <w:r>
        <w:t xml:space="preserve">6: 1–10.</w:t>
      </w:r>
      <w:r>
        <w:t xml:space="preserve"> </w:t>
      </w:r>
      <w:hyperlink r:id="rId54">
        <w:r>
          <w:rPr>
            <w:rStyle w:val="Hyperlink"/>
          </w:rPr>
          <w:t xml:space="preserve">https://doi.org/10.1109/JTEHM.2017.2780836</w:t>
        </w:r>
      </w:hyperlink>
      <w:r>
        <w:t xml:space="preserve">.</w:t>
      </w:r>
    </w:p>
    <w:bookmarkEnd w:id="55"/>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43" Target="https://doi.org/10.1002/14651858.CD006876.pub4" TargetMode="External" /><Relationship Type="http://schemas.openxmlformats.org/officeDocument/2006/relationships/hyperlink" Id="rId23" Target="https://doi.org/10.1007/978-3-030-01845-0_69" TargetMode="External" /><Relationship Type="http://schemas.openxmlformats.org/officeDocument/2006/relationships/hyperlink" Id="rId25" Target="https://doi.org/10.1007/s10827-025-00906-5" TargetMode="External" /><Relationship Type="http://schemas.openxmlformats.org/officeDocument/2006/relationships/hyperlink" Id="rId33" Target="https://doi.org/10.1038/s41597-019-0285-1" TargetMode="External" /><Relationship Type="http://schemas.openxmlformats.org/officeDocument/2006/relationships/hyperlink" Id="rId41" Target="https://doi.org/10.1038/s41597-025-05186-8" TargetMode="External" /><Relationship Type="http://schemas.openxmlformats.org/officeDocument/2006/relationships/hyperlink" Id="rId47" Target="https://doi.org/10.1038/sdata.2018.101" TargetMode="External" /><Relationship Type="http://schemas.openxmlformats.org/officeDocument/2006/relationships/hyperlink" Id="rId50" Target="https://doi.org/10.1080/17483107.2018.1425748" TargetMode="External" /><Relationship Type="http://schemas.openxmlformats.org/officeDocument/2006/relationships/hyperlink" Id="rId31" Target="https://doi.org/10.1109/BIOROB.2018.8487190" TargetMode="External" /><Relationship Type="http://schemas.openxmlformats.org/officeDocument/2006/relationships/hyperlink" Id="rId54" Target="https://doi.org/10.1109/JTEHM.2017.2780836" TargetMode="External" /><Relationship Type="http://schemas.openxmlformats.org/officeDocument/2006/relationships/hyperlink" Id="rId27" Target="https://doi.org/10.1145/3136755.3136817" TargetMode="External" /><Relationship Type="http://schemas.openxmlformats.org/officeDocument/2006/relationships/hyperlink" Id="rId52" Target="https://doi.org/10.1155/2013/128641" TargetMode="External" /><Relationship Type="http://schemas.openxmlformats.org/officeDocument/2006/relationships/hyperlink" Id="rId29" Target="https://doi.org/10.1161/01.STR.24.1.58" TargetMode="External" /><Relationship Type="http://schemas.openxmlformats.org/officeDocument/2006/relationships/hyperlink" Id="rId37" Target="https://doi.org/10.1177/2055668319831631" TargetMode="External" /><Relationship Type="http://schemas.openxmlformats.org/officeDocument/2006/relationships/hyperlink" Id="rId39" Target="https://doi.org/10.2478/s13230-012-0009-2" TargetMode="External" /><Relationship Type="http://schemas.openxmlformats.org/officeDocument/2006/relationships/hyperlink" Id="rId35" Target="https://doi.org/10.3390/ijms21207609" TargetMode="External" /></Relationships>
</file>

<file path=word/_rels/footnotes.xml.rels><?xml version="1.0" encoding="UTF-8"?><Relationships xmlns="http://schemas.openxmlformats.org/package/2006/relationships"><Relationship Type="http://schemas.openxmlformats.org/officeDocument/2006/relationships/hyperlink" Id="rId43" Target="https://doi.org/10.1002/14651858.CD006876.pub4" TargetMode="External" /><Relationship Type="http://schemas.openxmlformats.org/officeDocument/2006/relationships/hyperlink" Id="rId23" Target="https://doi.org/10.1007/978-3-030-01845-0_69" TargetMode="External" /><Relationship Type="http://schemas.openxmlformats.org/officeDocument/2006/relationships/hyperlink" Id="rId25" Target="https://doi.org/10.1007/s10827-025-00906-5" TargetMode="External" /><Relationship Type="http://schemas.openxmlformats.org/officeDocument/2006/relationships/hyperlink" Id="rId33" Target="https://doi.org/10.1038/s41597-019-0285-1" TargetMode="External" /><Relationship Type="http://schemas.openxmlformats.org/officeDocument/2006/relationships/hyperlink" Id="rId41" Target="https://doi.org/10.1038/s41597-025-05186-8" TargetMode="External" /><Relationship Type="http://schemas.openxmlformats.org/officeDocument/2006/relationships/hyperlink" Id="rId47" Target="https://doi.org/10.1038/sdata.2018.101" TargetMode="External" /><Relationship Type="http://schemas.openxmlformats.org/officeDocument/2006/relationships/hyperlink" Id="rId50" Target="https://doi.org/10.1080/17483107.2018.1425748" TargetMode="External" /><Relationship Type="http://schemas.openxmlformats.org/officeDocument/2006/relationships/hyperlink" Id="rId31" Target="https://doi.org/10.1109/BIOROB.2018.8487190" TargetMode="External" /><Relationship Type="http://schemas.openxmlformats.org/officeDocument/2006/relationships/hyperlink" Id="rId54" Target="https://doi.org/10.1109/JTEHM.2017.2780836" TargetMode="External" /><Relationship Type="http://schemas.openxmlformats.org/officeDocument/2006/relationships/hyperlink" Id="rId27" Target="https://doi.org/10.1145/3136755.3136817" TargetMode="External" /><Relationship Type="http://schemas.openxmlformats.org/officeDocument/2006/relationships/hyperlink" Id="rId52" Target="https://doi.org/10.1155/2013/128641" TargetMode="External" /><Relationship Type="http://schemas.openxmlformats.org/officeDocument/2006/relationships/hyperlink" Id="rId29" Target="https://doi.org/10.1161/01.STR.24.1.58" TargetMode="External" /><Relationship Type="http://schemas.openxmlformats.org/officeDocument/2006/relationships/hyperlink" Id="rId37" Target="https://doi.org/10.1177/2055668319831631" TargetMode="External" /><Relationship Type="http://schemas.openxmlformats.org/officeDocument/2006/relationships/hyperlink" Id="rId39" Target="https://doi.org/10.2478/s13230-012-0009-2" TargetMode="External" /><Relationship Type="http://schemas.openxmlformats.org/officeDocument/2006/relationships/hyperlink" Id="rId35" Target="https://doi.org/10.3390/ijms2120760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2026-09-10T09:29:06Z</dcterms:created>
  <dcterms:modified xsi:type="dcterms:W3CDTF">2026-09-10T09:29:06Z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ies>
</file>