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EDE" w14:textId="77777777" w:rsidR="007358EC" w:rsidRPr="00DF4732" w:rsidRDefault="00000000" w:rsidP="007358EC">
      <w:pPr>
        <w:pStyle w:val="Heading1"/>
        <w:jc w:val="both"/>
        <w:rPr>
          <w:rFonts w:ascii="Arial" w:hAnsi="Arial" w:cs="Arial"/>
          <w:color w:val="C00000"/>
          <w:sz w:val="24"/>
          <w:szCs w:val="24"/>
        </w:rPr>
      </w:pPr>
      <w:r w:rsidRPr="007358EC">
        <w:rPr>
          <w:rFonts w:ascii="Arial" w:hAnsi="Arial" w:cs="Arial"/>
          <w:color w:val="auto"/>
          <w:sz w:val="24"/>
          <w:szCs w:val="24"/>
        </w:rPr>
        <w:t xml:space="preserve">Obstacle avoidance under perturbation: a closed-loop attractor account of population dynamics </w:t>
      </w:r>
      <w:r w:rsidRPr="00DF4732">
        <w:rPr>
          <w:rFonts w:ascii="Arial" w:hAnsi="Arial" w:cs="Arial"/>
          <w:color w:val="C00000"/>
          <w:sz w:val="24"/>
          <w:szCs w:val="24"/>
        </w:rPr>
        <w:t>in a reinforcement-learning motor controller</w:t>
      </w:r>
    </w:p>
    <w:p w14:paraId="2E6D81EB" w14:textId="442E18EC" w:rsidR="00882E41" w:rsidRPr="007358EC" w:rsidRDefault="00000000" w:rsidP="007358EC">
      <w:pPr>
        <w:pStyle w:val="Heading1"/>
        <w:jc w:val="both"/>
        <w:rPr>
          <w:rFonts w:ascii="Arial" w:hAnsi="Arial" w:cs="Arial"/>
          <w:color w:val="auto"/>
          <w:sz w:val="24"/>
          <w:szCs w:val="24"/>
        </w:rPr>
      </w:pPr>
      <w:r w:rsidRPr="007358EC">
        <w:rPr>
          <w:rFonts w:ascii="Arial" w:hAnsi="Arial" w:cs="Arial"/>
          <w:color w:val="auto"/>
          <w:sz w:val="24"/>
          <w:szCs w:val="24"/>
        </w:rPr>
        <w:t>Abstract</w:t>
      </w:r>
    </w:p>
    <w:p w14:paraId="4C90AB71" w14:textId="77777777" w:rsidR="007358EC" w:rsidRDefault="00000000" w:rsidP="007358EC">
      <w:pPr>
        <w:jc w:val="both"/>
        <w:rPr>
          <w:rFonts w:ascii="Arial" w:hAnsi="Arial" w:cs="Arial"/>
          <w:sz w:val="24"/>
          <w:szCs w:val="24"/>
        </w:rPr>
      </w:pPr>
      <w:r w:rsidRPr="007358EC">
        <w:rPr>
          <w:rFonts w:ascii="Arial" w:hAnsi="Arial" w:cs="Arial"/>
          <w:sz w:val="24"/>
          <w:szCs w:val="24"/>
        </w:rPr>
        <w:t xml:space="preserve">Obstacle avoidance requires converting sensory feedback into corrections that are graded and phase-appropriate without derailing an already-successful approach to a goal. It is not clear how a reward-trained controller achieves this, or why an identical perturbation can be corrected in one direction and cause a collision in the other. We give a closed-loop dynamical-systems account of both. </w:t>
      </w:r>
    </w:p>
    <w:p w14:paraId="3A1DE49F" w14:textId="095F6735" w:rsidR="00882E41" w:rsidRPr="007358EC" w:rsidRDefault="00000000" w:rsidP="007358EC">
      <w:pPr>
        <w:jc w:val="both"/>
        <w:rPr>
          <w:rFonts w:ascii="Arial" w:hAnsi="Arial" w:cs="Arial"/>
          <w:sz w:val="24"/>
          <w:szCs w:val="24"/>
        </w:rPr>
      </w:pPr>
      <w:r w:rsidRPr="007358EC">
        <w:rPr>
          <w:rFonts w:ascii="Arial" w:hAnsi="Arial" w:cs="Arial"/>
          <w:sz w:val="24"/>
          <w:szCs w:val="24"/>
        </w:rPr>
        <w:t xml:space="preserve">A proximal policy optimization (PPO) controller learned to steer a point mass around a two-obstacle corridor to a fixed goal. Perturbations were withheld during training and introduced only </w:t>
      </w:r>
      <w:r w:rsidR="002E7534">
        <w:rPr>
          <w:rFonts w:ascii="Arial" w:hAnsi="Arial" w:cs="Arial"/>
          <w:sz w:val="24"/>
          <w:szCs w:val="24"/>
        </w:rPr>
        <w:t>during testing</w:t>
      </w:r>
      <w:r w:rsidRPr="007358EC">
        <w:rPr>
          <w:rFonts w:ascii="Arial" w:hAnsi="Arial" w:cs="Arial"/>
          <w:sz w:val="24"/>
          <w:szCs w:val="24"/>
        </w:rPr>
        <w:t xml:space="preserve">. We treated the controller's 256-unit hidden layer as a population signal. We analyzed it with PCA, clustering, linear decoding, and a closed-loop analysis that treats the policy and the physics engine as a single dynamical system. Moderate perturbations were compensated by graded path changes with almost no change in forward speed. Strong rightward impulses caused more failures than equal leftward impulses. The closed loop has two stable fixed points, one per detour route, at x*=3.32 m and x*=6.70 m, with similar relaxation times (1.42 s and 1.35 s) and no oscillatory overshoot: real eigenvalues, |λ|&lt;1 for both routes. Attractor strength is close to equal across routes, so one route is not simply a weaker attractor. The asymmetry is geometric instead. The learned left route leaves less clearance to the near obstacle, so a rightward push has less room to recover before collision. Projected into PC1–PC2 space (74.8% of hidden-activity variance), the two fixed-point curves fall on the same manifold region as the four phase-aligned population clusters. This links the population geometry directly to the mechanism that produces the behavioural asymmetry. Reward-driven optimization produces a compact, phase-structured, mechanistically interpretable solution to obstacle avoidance, without biological supervision or hand-designed dynamics. With one training seed and a feedforward, two-dimensional controller, the correspondence to biology is organizational, not anatomical. </w:t>
      </w:r>
    </w:p>
    <w:p w14:paraId="27D86FD8" w14:textId="77777777" w:rsidR="00882E41" w:rsidRPr="007358EC" w:rsidRDefault="00000000" w:rsidP="007358EC">
      <w:pPr>
        <w:pStyle w:val="Heading2"/>
        <w:jc w:val="both"/>
        <w:rPr>
          <w:rFonts w:ascii="Arial" w:hAnsi="Arial" w:cs="Arial"/>
          <w:color w:val="auto"/>
          <w:sz w:val="24"/>
          <w:szCs w:val="24"/>
        </w:rPr>
      </w:pPr>
      <w:r w:rsidRPr="007358EC">
        <w:rPr>
          <w:rFonts w:ascii="Arial" w:hAnsi="Arial" w:cs="Arial"/>
          <w:color w:val="auto"/>
          <w:sz w:val="24"/>
          <w:szCs w:val="24"/>
        </w:rPr>
        <w:t>Additional details</w:t>
      </w:r>
    </w:p>
    <w:p w14:paraId="2248BFBE" w14:textId="62400117" w:rsidR="007358EC" w:rsidRDefault="00000000" w:rsidP="007358EC">
      <w:pPr>
        <w:jc w:val="both"/>
        <w:rPr>
          <w:rFonts w:ascii="Arial" w:hAnsi="Arial" w:cs="Arial"/>
          <w:sz w:val="24"/>
          <w:szCs w:val="24"/>
        </w:rPr>
      </w:pPr>
      <w:r w:rsidRPr="007358EC">
        <w:rPr>
          <w:rFonts w:ascii="Arial" w:hAnsi="Arial" w:cs="Arial"/>
          <w:sz w:val="24"/>
          <w:szCs w:val="24"/>
        </w:rPr>
        <w:t xml:space="preserve">Task success alone does not show how a controller corrects an unexpected force, or why the same force fails in one direction. Sensory feedback </w:t>
      </w:r>
      <w:proofErr w:type="gramStart"/>
      <w:r w:rsidR="009566F3">
        <w:rPr>
          <w:rFonts w:ascii="Arial" w:hAnsi="Arial" w:cs="Arial"/>
          <w:sz w:val="24"/>
          <w:szCs w:val="24"/>
        </w:rPr>
        <w:t>are</w:t>
      </w:r>
      <w:proofErr w:type="gramEnd"/>
      <w:r w:rsidRPr="007358EC">
        <w:rPr>
          <w:rFonts w:ascii="Arial" w:hAnsi="Arial" w:cs="Arial"/>
          <w:sz w:val="24"/>
          <w:szCs w:val="24"/>
        </w:rPr>
        <w:t xml:space="preserve"> converted into rapid, graded corrections while the limb keeps moving toward the goal, and this correction has to respect a hard physical constraint, the obstacle boundary. </w:t>
      </w:r>
    </w:p>
    <w:p w14:paraId="307AE84B" w14:textId="77777777" w:rsidR="0029542D" w:rsidRDefault="00000000" w:rsidP="007358EC">
      <w:pPr>
        <w:jc w:val="both"/>
        <w:rPr>
          <w:rFonts w:ascii="Arial" w:hAnsi="Arial" w:cs="Arial"/>
          <w:sz w:val="24"/>
          <w:szCs w:val="24"/>
        </w:rPr>
      </w:pPr>
      <w:r w:rsidRPr="007358EC">
        <w:rPr>
          <w:rFonts w:ascii="Arial" w:hAnsi="Arial" w:cs="Arial"/>
          <w:sz w:val="24"/>
          <w:szCs w:val="24"/>
        </w:rPr>
        <w:lastRenderedPageBreak/>
        <w:br/>
        <w:t>We treat the trained policy and the physics engine together as one closed-loop dynamical system. We find its fixed points in physical state space</w:t>
      </w:r>
      <w:r w:rsidR="007358EC">
        <w:rPr>
          <w:rFonts w:ascii="Arial" w:hAnsi="Arial" w:cs="Arial"/>
          <w:sz w:val="24"/>
          <w:szCs w:val="24"/>
        </w:rPr>
        <w:t xml:space="preserve">. </w:t>
      </w:r>
      <w:r w:rsidRPr="007358EC">
        <w:rPr>
          <w:rFonts w:ascii="Arial" w:hAnsi="Arial" w:cs="Arial"/>
          <w:sz w:val="24"/>
          <w:szCs w:val="24"/>
        </w:rPr>
        <w:t>These fixed points match the empirical detour trajectory within a few centimetres. They explain the perturbation-direction asymmetry quantitatively, through obstacle clearance rather than unequal attractor strength. They map onto the same region of the PC1–PC2 manifold as the four phase-aligned clusters already visible in the population data. This gives a testable, quantitative account of how the network solves obstacle avoidance, not only that it does.</w:t>
      </w:r>
    </w:p>
    <w:p w14:paraId="2AD8D648" w14:textId="77777777" w:rsidR="00F071A8" w:rsidRDefault="00000000" w:rsidP="007358EC">
      <w:pPr>
        <w:jc w:val="both"/>
        <w:rPr>
          <w:rFonts w:ascii="Arial" w:hAnsi="Arial" w:cs="Arial"/>
          <w:sz w:val="24"/>
          <w:szCs w:val="24"/>
        </w:rPr>
      </w:pPr>
      <w:r w:rsidRPr="007358EC">
        <w:rPr>
          <w:rFonts w:ascii="Arial" w:hAnsi="Arial" w:cs="Arial"/>
          <w:sz w:val="24"/>
          <w:szCs w:val="24"/>
        </w:rPr>
        <w:t xml:space="preserve">A PPO actor-critic was trained for 3 million environment steps. The actor was a feedforward multilayer perceptron with two 256-unit hidden layers. It processed each timestep independently, with no recurrence or explicit memory. </w:t>
      </w:r>
      <w:r w:rsidR="007358EC">
        <w:rPr>
          <w:rFonts w:ascii="Arial" w:hAnsi="Arial" w:cs="Arial"/>
          <w:sz w:val="24"/>
          <w:szCs w:val="24"/>
        </w:rPr>
        <w:t>W</w:t>
      </w:r>
      <w:r w:rsidRPr="007358EC">
        <w:rPr>
          <w:rFonts w:ascii="Arial" w:hAnsi="Arial" w:cs="Arial"/>
          <w:sz w:val="24"/>
          <w:szCs w:val="24"/>
        </w:rPr>
        <w:t>hat we compute is the fixed points of the closed loop formed by the policy and the environment's physics, in the agent's physical state space. This is a direct substitute for the recurrent-network fixed-point analysis (Sussillo &amp; Barak, 2013). It is also more interpretable here, since the state space (x, y, vx, vy) already carries physical units and meaning.</w:t>
      </w:r>
    </w:p>
    <w:p w14:paraId="4FACB289" w14:textId="58FC673F" w:rsidR="00F071A8" w:rsidRPr="00F071A8" w:rsidRDefault="00000000" w:rsidP="007358EC">
      <w:pPr>
        <w:jc w:val="both"/>
        <w:rPr>
          <w:rFonts w:ascii="Arial" w:hAnsi="Arial" w:cs="Arial"/>
          <w:color w:val="C00000"/>
          <w:sz w:val="24"/>
          <w:szCs w:val="24"/>
        </w:rPr>
      </w:pPr>
      <w:r w:rsidRPr="00F071A8">
        <w:rPr>
          <w:rFonts w:ascii="Arial" w:hAnsi="Arial" w:cs="Arial"/>
          <w:sz w:val="24"/>
          <w:szCs w:val="24"/>
        </w:rPr>
        <w:t xml:space="preserve">PC1 explained 46.8% and PC2 explained 28.0% of hidden-activity variance (74.8% combined). Four clusters aligned with movement phase and were shared across perturbation conditions. A linear decoder separated the most extreme conditions most clearly. Control and mild conditions overlapped. The closed-loop fixed points are stable under linearization, real eigenvalues, magnitude below 1, for both routes, so the controller relaxes back to its detour route smoothly rather than oscillating. The two routes are close to mirror images of each other about the corridor midline (x*=3.32 m and x*=6.70 m), with similar relaxation times. The asymmetry in behavioural failure is not explained by one route being an intrinsically weaker attractor. It is explained by clearance: the obstacle pair sits at x=4.25 m and x=5.75 m with 0.5 m </w:t>
      </w:r>
      <w:proofErr w:type="gramStart"/>
      <w:r w:rsidRPr="00F071A8">
        <w:rPr>
          <w:rFonts w:ascii="Arial" w:hAnsi="Arial" w:cs="Arial"/>
          <w:sz w:val="24"/>
          <w:szCs w:val="24"/>
        </w:rPr>
        <w:t>radius</w:t>
      </w:r>
      <w:r w:rsidR="00F071A8">
        <w:rPr>
          <w:rFonts w:ascii="Arial" w:hAnsi="Arial" w:cs="Arial"/>
          <w:sz w:val="24"/>
          <w:szCs w:val="24"/>
        </w:rPr>
        <w:t xml:space="preserve">  </w:t>
      </w:r>
      <w:r w:rsidR="00F071A8" w:rsidRPr="00F071A8">
        <w:rPr>
          <w:rFonts w:ascii="Arial" w:hAnsi="Arial" w:cs="Arial"/>
          <w:color w:val="C00000"/>
          <w:sz w:val="24"/>
          <w:szCs w:val="24"/>
        </w:rPr>
        <w:t>REFERENCES</w:t>
      </w:r>
      <w:proofErr w:type="gramEnd"/>
    </w:p>
    <w:p w14:paraId="35478145" w14:textId="381BD636" w:rsidR="00882E41" w:rsidRPr="007358EC" w:rsidRDefault="00000000" w:rsidP="007358EC">
      <w:pPr>
        <w:jc w:val="both"/>
        <w:rPr>
          <w:rFonts w:ascii="Arial" w:hAnsi="Arial" w:cs="Arial"/>
          <w:sz w:val="24"/>
          <w:szCs w:val="24"/>
        </w:rPr>
      </w:pPr>
      <w:r w:rsidRPr="007358EC">
        <w:rPr>
          <w:rFonts w:ascii="Arial" w:hAnsi="Arial" w:cs="Arial"/>
          <w:sz w:val="24"/>
          <w:szCs w:val="24"/>
        </w:rPr>
        <w:t>The relaxation time constant we recover here, 1.3 to 1.4 s, is the same quantity used to characterize feedback-controller recovery in human perturbation experiments. That puts the trained controller on a comparable footing. Multi-seed training and human comparison, wrist kinematics and six-muscle surface EMG in healthy adults and stroke survivors, are the direct next tests of robustness and biological scope.</w:t>
      </w:r>
    </w:p>
    <w:p w14:paraId="1336F8B4" w14:textId="77777777" w:rsidR="00882E41" w:rsidRPr="007358EC" w:rsidRDefault="00000000" w:rsidP="007358EC">
      <w:pPr>
        <w:pStyle w:val="Heading2"/>
        <w:jc w:val="both"/>
        <w:rPr>
          <w:rFonts w:ascii="Arial" w:hAnsi="Arial" w:cs="Arial"/>
          <w:color w:val="auto"/>
          <w:sz w:val="24"/>
          <w:szCs w:val="24"/>
        </w:rPr>
      </w:pPr>
      <w:r w:rsidRPr="007358EC">
        <w:rPr>
          <w:rFonts w:ascii="Arial" w:hAnsi="Arial" w:cs="Arial"/>
          <w:color w:val="auto"/>
          <w:sz w:val="24"/>
          <w:szCs w:val="24"/>
        </w:rPr>
        <w:t>Figure</w:t>
      </w:r>
    </w:p>
    <w:p w14:paraId="0D2733A1" w14:textId="762E5C89" w:rsidR="004A09C8" w:rsidRPr="00377807" w:rsidRDefault="007358EC" w:rsidP="007358EC">
      <w:pPr>
        <w:jc w:val="both"/>
        <w:rPr>
          <w:rFonts w:ascii="Arial" w:hAnsi="Arial" w:cs="Arial"/>
          <w:i/>
          <w:iCs/>
          <w:sz w:val="24"/>
          <w:szCs w:val="24"/>
        </w:rPr>
      </w:pPr>
      <w:r w:rsidRPr="00377807">
        <w:rPr>
          <w:rFonts w:ascii="Arial" w:hAnsi="Arial" w:cs="Arial"/>
          <w:i/>
          <w:iCs/>
          <w:sz w:val="24"/>
          <w:szCs w:val="24"/>
        </w:rPr>
        <w:t xml:space="preserve">The closed-loop policy-physics system has two stable fixed points, one per detour route, that track the empirical trajectories within centimetres and relax back smoothly (real eigenvalues, no overshoot, 1.3–1.4 s time constants). The </w:t>
      </w:r>
      <w:r w:rsidRPr="00377807">
        <w:rPr>
          <w:rFonts w:ascii="Arial" w:hAnsi="Arial" w:cs="Arial"/>
          <w:i/>
          <w:iCs/>
          <w:sz w:val="24"/>
          <w:szCs w:val="24"/>
        </w:rPr>
        <w:lastRenderedPageBreak/>
        <w:t>left route leaves less clearance to its near obstacle than the right route does, which geometrically explains the direction-dependent failure rate, and both fixed-point curves land on the same PC1–PC2 manifold region occupied by the four phase-aligned population clusters.</w:t>
      </w:r>
    </w:p>
    <w:p w14:paraId="682E3E43" w14:textId="77777777" w:rsidR="00882E41" w:rsidRPr="00F071A8" w:rsidRDefault="00000000" w:rsidP="007358EC">
      <w:pPr>
        <w:pStyle w:val="ListBullet"/>
        <w:jc w:val="both"/>
        <w:rPr>
          <w:rFonts w:ascii="Arial" w:hAnsi="Arial" w:cs="Arial"/>
          <w:color w:val="C00000"/>
          <w:sz w:val="24"/>
          <w:szCs w:val="24"/>
        </w:rPr>
      </w:pPr>
      <w:r w:rsidRPr="00F071A8">
        <w:rPr>
          <w:rFonts w:ascii="Arial" w:hAnsi="Arial" w:cs="Arial"/>
          <w:color w:val="C00000"/>
          <w:sz w:val="24"/>
          <w:szCs w:val="24"/>
        </w:rPr>
        <w:t>Michaels JA, Dann B, Scherberger H. Neural population dynamics during reaching are better explained by a dynamical system than representational tuning. PLoS Comput Biol. 2016;12(11</w:t>
      </w:r>
      <w:proofErr w:type="gramStart"/>
      <w:r w:rsidRPr="00F071A8">
        <w:rPr>
          <w:rFonts w:ascii="Arial" w:hAnsi="Arial" w:cs="Arial"/>
          <w:color w:val="C00000"/>
          <w:sz w:val="24"/>
          <w:szCs w:val="24"/>
        </w:rPr>
        <w:t>):e</w:t>
      </w:r>
      <w:proofErr w:type="gramEnd"/>
      <w:r w:rsidRPr="00F071A8">
        <w:rPr>
          <w:rFonts w:ascii="Arial" w:hAnsi="Arial" w:cs="Arial"/>
          <w:color w:val="C00000"/>
          <w:sz w:val="24"/>
          <w:szCs w:val="24"/>
        </w:rPr>
        <w:t>1005175.</w:t>
      </w:r>
    </w:p>
    <w:p w14:paraId="51177831" w14:textId="77777777" w:rsidR="00882E41" w:rsidRPr="00F071A8" w:rsidRDefault="00000000" w:rsidP="007358EC">
      <w:pPr>
        <w:pStyle w:val="ListBullet"/>
        <w:jc w:val="both"/>
        <w:rPr>
          <w:rFonts w:ascii="Arial" w:hAnsi="Arial" w:cs="Arial"/>
          <w:color w:val="C00000"/>
          <w:sz w:val="24"/>
          <w:szCs w:val="24"/>
        </w:rPr>
      </w:pPr>
      <w:r w:rsidRPr="00F071A8">
        <w:rPr>
          <w:rFonts w:ascii="Arial" w:hAnsi="Arial" w:cs="Arial"/>
          <w:color w:val="C00000"/>
          <w:sz w:val="24"/>
          <w:szCs w:val="24"/>
        </w:rPr>
        <w:t>Pruszynski JA, et al. Primary motor cortex underlies multi-phasic muscle responses to mechanical perturbations. J Neurosci. 2011.</w:t>
      </w:r>
    </w:p>
    <w:p w14:paraId="0C6AC034" w14:textId="77777777" w:rsidR="00882E41" w:rsidRPr="00F071A8" w:rsidRDefault="00000000" w:rsidP="007358EC">
      <w:pPr>
        <w:pStyle w:val="ListBullet"/>
        <w:jc w:val="both"/>
        <w:rPr>
          <w:rFonts w:ascii="Arial" w:hAnsi="Arial" w:cs="Arial"/>
          <w:color w:val="C00000"/>
          <w:sz w:val="24"/>
          <w:szCs w:val="24"/>
        </w:rPr>
      </w:pPr>
      <w:r w:rsidRPr="00F071A8">
        <w:rPr>
          <w:rFonts w:ascii="Arial" w:hAnsi="Arial" w:cs="Arial"/>
          <w:color w:val="C00000"/>
          <w:sz w:val="24"/>
          <w:szCs w:val="24"/>
        </w:rPr>
        <w:t>Nashed JY, Crevecoeur F, Scott SH. Rapid online selection between multiple motor plans. J Neurosci. 2014.</w:t>
      </w:r>
    </w:p>
    <w:p w14:paraId="765C3A8B" w14:textId="77777777" w:rsidR="00882E41" w:rsidRPr="00F071A8" w:rsidRDefault="00000000" w:rsidP="007358EC">
      <w:pPr>
        <w:pStyle w:val="ListBullet"/>
        <w:jc w:val="both"/>
        <w:rPr>
          <w:rFonts w:ascii="Arial" w:hAnsi="Arial" w:cs="Arial"/>
          <w:color w:val="C00000"/>
          <w:sz w:val="24"/>
          <w:szCs w:val="24"/>
        </w:rPr>
      </w:pPr>
      <w:proofErr w:type="spellStart"/>
      <w:r w:rsidRPr="00F071A8">
        <w:rPr>
          <w:rFonts w:ascii="Arial" w:hAnsi="Arial" w:cs="Arial"/>
          <w:color w:val="C00000"/>
          <w:sz w:val="24"/>
          <w:szCs w:val="24"/>
        </w:rPr>
        <w:t>Sussillo</w:t>
      </w:r>
      <w:proofErr w:type="spellEnd"/>
      <w:r w:rsidRPr="00F071A8">
        <w:rPr>
          <w:rFonts w:ascii="Arial" w:hAnsi="Arial" w:cs="Arial"/>
          <w:color w:val="C00000"/>
          <w:sz w:val="24"/>
          <w:szCs w:val="24"/>
        </w:rPr>
        <w:t xml:space="preserve"> D, Barak O. Opening the black box: low-dimensional dynamics in high-dimensional recurrent neural networks. Neural Comput. 2013;25(3):626-649.</w:t>
      </w:r>
    </w:p>
    <w:p w14:paraId="23D96023" w14:textId="77777777" w:rsidR="00304B30" w:rsidRDefault="00304B30" w:rsidP="00304B30">
      <w:pPr>
        <w:pStyle w:val="ListBullet"/>
        <w:numPr>
          <w:ilvl w:val="0"/>
          <w:numId w:val="0"/>
        </w:numPr>
        <w:ind w:left="360" w:hanging="360"/>
        <w:jc w:val="both"/>
        <w:rPr>
          <w:rFonts w:ascii="Arial" w:hAnsi="Arial" w:cs="Arial"/>
          <w:sz w:val="24"/>
          <w:szCs w:val="24"/>
        </w:rPr>
      </w:pPr>
    </w:p>
    <w:p w14:paraId="5F8C8B61" w14:textId="3EC6ABBD" w:rsidR="00304B30" w:rsidRPr="007358EC" w:rsidRDefault="00304B30" w:rsidP="00304B30">
      <w:pPr>
        <w:pStyle w:val="ListBullet"/>
        <w:numPr>
          <w:ilvl w:val="0"/>
          <w:numId w:val="0"/>
        </w:numPr>
        <w:ind w:left="360" w:hanging="360"/>
        <w:jc w:val="both"/>
        <w:rPr>
          <w:rFonts w:ascii="Arial" w:hAnsi="Arial" w:cs="Arial"/>
          <w:sz w:val="24"/>
          <w:szCs w:val="24"/>
        </w:rPr>
      </w:pPr>
      <w:r>
        <w:rPr>
          <w:noProof/>
        </w:rPr>
        <w:drawing>
          <wp:inline distT="0" distB="0" distL="0" distR="0" wp14:anchorId="05A0BD6B" wp14:editId="0FA9758D">
            <wp:extent cx="1937504" cy="1821815"/>
            <wp:effectExtent l="0" t="0" r="5715" b="6985"/>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2_trajectories.png"/>
                    <pic:cNvPicPr>
                      <a:picLocks noChangeAspect="1" noChangeArrowheads="1"/>
                    </pic:cNvPicPr>
                  </pic:nvPicPr>
                  <pic:blipFill>
                    <a:blip r:embed="rId6"/>
                    <a:stretch>
                      <a:fillRect/>
                    </a:stretch>
                  </pic:blipFill>
                  <pic:spPr bwMode="auto">
                    <a:xfrm>
                      <a:off x="0" y="0"/>
                      <a:ext cx="1957333" cy="1840460"/>
                    </a:xfrm>
                    <a:prstGeom prst="rect">
                      <a:avLst/>
                    </a:prstGeom>
                    <a:noFill/>
                    <a:ln w="9525">
                      <a:noFill/>
                      <a:headEnd/>
                      <a:tailEnd/>
                    </a:ln>
                  </pic:spPr>
                </pic:pic>
              </a:graphicData>
            </a:graphic>
          </wp:inline>
        </w:drawing>
      </w:r>
      <w:r w:rsidR="00377807">
        <w:rPr>
          <w:noProof/>
        </w:rPr>
        <w:drawing>
          <wp:inline distT="0" distB="0" distL="0" distR="0" wp14:anchorId="1FC3E18B" wp14:editId="72AED517">
            <wp:extent cx="1790433" cy="1762760"/>
            <wp:effectExtent l="0" t="0" r="635" b="889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4_pca.png"/>
                    <pic:cNvPicPr>
                      <a:picLocks noChangeAspect="1" noChangeArrowheads="1"/>
                    </pic:cNvPicPr>
                  </pic:nvPicPr>
                  <pic:blipFill>
                    <a:blip r:embed="rId7"/>
                    <a:stretch>
                      <a:fillRect/>
                    </a:stretch>
                  </pic:blipFill>
                  <pic:spPr bwMode="auto">
                    <a:xfrm>
                      <a:off x="0" y="0"/>
                      <a:ext cx="1790433" cy="1762760"/>
                    </a:xfrm>
                    <a:prstGeom prst="rect">
                      <a:avLst/>
                    </a:prstGeom>
                    <a:noFill/>
                    <a:ln w="9525">
                      <a:noFill/>
                      <a:headEnd/>
                      <a:tailEnd/>
                    </a:ln>
                  </pic:spPr>
                </pic:pic>
              </a:graphicData>
            </a:graphic>
          </wp:inline>
        </w:drawing>
      </w:r>
      <w:r w:rsidR="00377807">
        <w:rPr>
          <w:noProof/>
        </w:rPr>
        <w:drawing>
          <wp:inline distT="0" distB="0" distL="0" distR="0" wp14:anchorId="66B7438E" wp14:editId="58632930">
            <wp:extent cx="3676783" cy="2045335"/>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7_attractor.png"/>
                    <pic:cNvPicPr>
                      <a:picLocks noChangeAspect="1" noChangeArrowheads="1"/>
                    </pic:cNvPicPr>
                  </pic:nvPicPr>
                  <pic:blipFill>
                    <a:blip r:embed="rId8"/>
                    <a:stretch>
                      <a:fillRect/>
                    </a:stretch>
                  </pic:blipFill>
                  <pic:spPr bwMode="auto">
                    <a:xfrm>
                      <a:off x="0" y="0"/>
                      <a:ext cx="3710784" cy="2064249"/>
                    </a:xfrm>
                    <a:prstGeom prst="rect">
                      <a:avLst/>
                    </a:prstGeom>
                    <a:noFill/>
                    <a:ln w="9525">
                      <a:noFill/>
                      <a:headEnd/>
                      <a:tailEnd/>
                    </a:ln>
                  </pic:spPr>
                </pic:pic>
              </a:graphicData>
            </a:graphic>
          </wp:inline>
        </w:drawing>
      </w:r>
    </w:p>
    <w:sectPr w:rsidR="00304B30" w:rsidRPr="007358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71635F0"/>
    <w:lvl w:ilvl="0">
      <w:start w:val="1"/>
      <w:numFmt w:val="bullet"/>
      <w:pStyle w:val="ListBullet"/>
      <w:lvlText w:val=""/>
      <w:lvlJc w:val="left"/>
      <w:pPr>
        <w:tabs>
          <w:tab w:val="num" w:pos="360"/>
        </w:tabs>
        <w:ind w:left="360" w:hanging="360"/>
      </w:pPr>
      <w:rPr>
        <w:rFonts w:ascii="Symbol" w:hAnsi="Symbol" w:hint="default"/>
      </w:rPr>
    </w:lvl>
  </w:abstractNum>
  <w:num w:numId="1" w16cid:durableId="567225549">
    <w:abstractNumId w:val="8"/>
  </w:num>
  <w:num w:numId="2" w16cid:durableId="422383982">
    <w:abstractNumId w:val="6"/>
  </w:num>
  <w:num w:numId="3" w16cid:durableId="1213037596">
    <w:abstractNumId w:val="5"/>
  </w:num>
  <w:num w:numId="4" w16cid:durableId="1659916262">
    <w:abstractNumId w:val="4"/>
  </w:num>
  <w:num w:numId="5" w16cid:durableId="1284771545">
    <w:abstractNumId w:val="7"/>
  </w:num>
  <w:num w:numId="6" w16cid:durableId="1449591683">
    <w:abstractNumId w:val="3"/>
  </w:num>
  <w:num w:numId="7" w16cid:durableId="407269095">
    <w:abstractNumId w:val="2"/>
  </w:num>
  <w:num w:numId="8" w16cid:durableId="725490076">
    <w:abstractNumId w:val="1"/>
  </w:num>
  <w:num w:numId="9" w16cid:durableId="7694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42D"/>
    <w:rsid w:val="0029639D"/>
    <w:rsid w:val="002E7534"/>
    <w:rsid w:val="00304B30"/>
    <w:rsid w:val="00326F90"/>
    <w:rsid w:val="00377807"/>
    <w:rsid w:val="00417507"/>
    <w:rsid w:val="004A09C8"/>
    <w:rsid w:val="004B11A0"/>
    <w:rsid w:val="007358EC"/>
    <w:rsid w:val="00882E41"/>
    <w:rsid w:val="009566F3"/>
    <w:rsid w:val="00A96C0C"/>
    <w:rsid w:val="00AA1D8D"/>
    <w:rsid w:val="00B47730"/>
    <w:rsid w:val="00CB0664"/>
    <w:rsid w:val="00D01BAE"/>
    <w:rsid w:val="00DF4732"/>
    <w:rsid w:val="00EE75D8"/>
    <w:rsid w:val="00F071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E4628"/>
  <w14:defaultImageDpi w14:val="300"/>
  <w15:docId w15:val="{9B38BE89-B522-453A-8C04-AC0C944B1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Ohue</cp:lastModifiedBy>
  <cp:revision>12</cp:revision>
  <dcterms:created xsi:type="dcterms:W3CDTF">2013-12-23T23:15:00Z</dcterms:created>
  <dcterms:modified xsi:type="dcterms:W3CDTF">2026-09-30T01:51:00Z</dcterms:modified>
  <cp:category/>
</cp:coreProperties>
</file>