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480"/>
        <w:gridCol w:w="2880"/>
      </w:tblGrid>
      <w:tr>
        <w:tc>
          <w:tcPr>
            <w:tcW w:type="dxa" w:w="4968"/>
          </w:tcPr>
          <w:p>
            <w:pPr>
              <w:spacing w:after="40"/>
            </w:pPr>
            <w:r>
              <w:rPr>
                <w:rFonts w:ascii="Calibri" w:hAnsi="Calibri"/>
                <w:b/>
                <w:color w:val="7C3AED"/>
                <w:sz w:val="18"/>
              </w:rPr>
              <w:t>OIDANEOS ACADEMY • CERTIFICATION PASI (217H)</w:t>
              <w:br/>
            </w:r>
            <w:r>
              <w:rPr>
                <w:rFonts w:ascii="Calibri" w:hAnsi="Calibri"/>
                <w:b/>
                <w:color w:val="0F172A"/>
                <w:sz w:val="28"/>
              </w:rPr>
              <w:t>GUIDE PÉDAGOGIQUE ÉTALON — SÉANCE 2</w:t>
              <w:br/>
            </w:r>
            <w:r>
              <w:rPr>
                <w:rFonts w:ascii="Calibri" w:hAnsi="Calibri"/>
                <w:color w:val="475569"/>
                <w:sz w:val="21"/>
              </w:rPr>
              <w:t>Fondamentaux de la SSI, Critères DICP &amp; Pilotage des Risques</w:t>
            </w:r>
          </w:p>
        </w:tc>
        <w:tc>
          <w:tcPr>
            <w:tcW w:type="dxa" w:w="4968"/>
          </w:tcPr>
          <w:p>
            <w:pPr>
              <w:spacing w:after="40"/>
              <w:jc w:val="right"/>
            </w:pPr>
            <w:r>
              <w:rPr>
                <w:rFonts w:ascii="Calibri" w:hAnsi="Calibri"/>
                <w:b/>
                <w:color w:val="334155"/>
                <w:sz w:val="18"/>
              </w:rPr>
              <w:t>Date : 09/09/2026</w:t>
              <w:br/>
            </w:r>
            <w:r>
              <w:rPr>
                <w:rFonts w:ascii="Calibri" w:hAnsi="Calibri"/>
                <w:color w:val="64748B"/>
                <w:sz w:val="17"/>
              </w:rPr>
              <w:t>Format : Classe Virtuelle Zoom</w:t>
              <w:br/>
            </w:r>
            <w:r>
              <w:rPr>
                <w:rFonts w:ascii="Calibri" w:hAnsi="Calibri"/>
                <w:color w:val="64748B"/>
                <w:sz w:val="17"/>
              </w:rPr>
              <w:t>Intervenants : G. Carayon / A. Valero</w:t>
            </w:r>
          </w:p>
        </w:tc>
      </w:tr>
    </w:tbl>
    <w:p/>
    <w:p>
      <w:pPr>
        <w:pStyle w:val="Heading1"/>
      </w:pPr>
      <w:r>
        <w:rPr>
          <w:b/>
          <w:color w:val="4C1D95"/>
          <w:sz w:val="26"/>
        </w:rPr>
        <w:t>1. Objectifs Pédagogiques &amp; Cadrage de la Séance</w:t>
      </w:r>
    </w:p>
    <w:p>
      <w:pPr>
        <w:spacing w:after="120" w:line="276" w:lineRule="auto"/>
      </w:pPr>
      <w:r>
        <w:rPr>
          <w:rFonts w:ascii="Calibri" w:hAnsi="Calibri"/>
          <w:color w:val="1E293B"/>
          <w:sz w:val="20"/>
        </w:rPr>
        <w:t>Cette séance avait un double objectif : présenter l’architecture pédagogique du parcours certifiant PASI sur les trois prochains mois et installer les fondamentaux indispensables au pilotage de la sécurité de l’information. Les apprenants ont notamment travaillé sur la distinction rigoureuse entre sécurité informatique, sécurité de l'information et cybersécurité, sur les critères fondamentaux DICP (Disponibilité, Intégrité, Confidentialité, Preuve/traçabilité), ainsi que sur les notions pivots de menace, vulnérabilité, impact et risque.</w:t>
        <w:br/>
        <w:br/>
        <w:t>La séance a également introduit la démarche méthodologique d'analyse des risques (EBIOS RM / ISO 27005) et les outils de gouvernance open-source qui serviront de fil conducteur pratique tout au long de la formation, notamment CISO Assistant.</w:t>
      </w:r>
    </w:p>
    <w:tbl>
      <w:tblPr>
        <w:tblW w:type="auto" w:w="0"/>
        <w:jc w:val="center"/>
        <w:tblLayout w:type="fixed"/>
        <w:tblLook w:firstColumn="1" w:firstRow="1" w:lastColumn="0" w:lastRow="0" w:noHBand="0" w:noVBand="1" w:val="04A0"/>
      </w:tblPr>
      <w:tblGrid>
        <w:gridCol w:w="9360"/>
      </w:tblGrid>
      <w:tr>
        <w:tc>
          <w:tcPr>
            <w:tcW w:type="dxa" w:w="9936"/>
            <w:shd w:fill="F5F3FF"/>
            <w:tcMar>
              <w:top w:w="140" w:type="dxa"/>
              <w:bottom w:w="140" w:type="dxa"/>
              <w:left w:w="200" w:type="dxa"/>
              <w:right w:w="200" w:type="dxa"/>
            </w:tcMar>
            <w:tcBorders>
              <w:left w:val="single" w:sz="24" w:space="0" w:color="7C3AED"/>
              <w:top w:val="none"/>
              <w:right w:val="none"/>
              <w:bottom w:val="none"/>
            </w:tcBorders>
          </w:tcPr>
          <w:p>
            <w:pPr>
              <w:spacing w:before="40" w:after="80"/>
            </w:pPr>
            <w:r>
              <w:rPr>
                <w:rFonts w:ascii="Calibri" w:hAnsi="Calibri"/>
                <w:b/>
                <w:color w:val="4C1D95"/>
                <w:sz w:val="22"/>
              </w:rPr>
              <w:t>📌 Postulat Clé du Pilote SSI</w:t>
              <w:br/>
            </w:r>
            <w:r>
              <w:rPr>
                <w:rFonts w:ascii="Calibri" w:hAnsi="Calibri"/>
                <w:color w:val="334155"/>
                <w:sz w:val="20"/>
              </w:rPr>
              <w:t>La cybersécurité n'est pas uniquement un sujet technique d'infrastructure : c'est un enjeu stratégique de gouvernance d'entreprise. Le pilote SSI doit traduire les risques informatiques en impacts financiers, opérationnels, juridiques et d'image pour éclairer les arbitrages du CODIR.</w:t>
            </w:r>
          </w:p>
        </w:tc>
      </w:tr>
    </w:tbl>
    <w:p/>
    <w:p>
      <w:pPr>
        <w:pStyle w:val="Heading1"/>
      </w:pPr>
      <w:r>
        <w:rPr>
          <w:b/>
          <w:color w:val="4C1D95"/>
          <w:sz w:val="26"/>
        </w:rPr>
        <w:t>2. Synthèse Détaillée des Notions Abordées</w:t>
      </w:r>
    </w:p>
    <w:p>
      <w:r>
        <w:rPr>
          <w:b/>
          <w:color w:val="0F172A"/>
          <w:sz w:val="22"/>
        </w:rPr>
        <w:t>2.1 Architecture du Parcours PASI &amp; Rôle du Pilote SSI</w:t>
        <w:br/>
      </w:r>
      <w:r>
        <w:rPr>
          <w:color w:val="334155"/>
          <w:sz w:val="19"/>
        </w:rPr>
        <w:t>• Progression pédagogique articulée sur 4 Blocs : Fondamentaux &amp; Cadrage, Détection &amp; Supervision, Durcissement &amp; Pentest, Gestion de crise &amp; Soutenance.</w:t>
        <w:br/>
        <w:t>• Posture professionnelle : être l'interface entre les équipes IT, les directions métiers et la gouvernance. Savoir structurer des plans d'actions réalistes et prioritaires.</w:t>
      </w:r>
    </w:p>
    <w:p>
      <w:r>
        <w:rPr>
          <w:b/>
          <w:color w:val="0F172A"/>
          <w:sz w:val="22"/>
        </w:rPr>
        <w:t>2.2 Sécurité de l'Information, Cybersécurité &amp; Matrice DICP</w:t>
        <w:br/>
      </w:r>
      <w:r>
        <w:rPr>
          <w:color w:val="334155"/>
          <w:sz w:val="19"/>
        </w:rPr>
        <w:t>• Sécurité informatique : protection des composants techniques (postes, serveurs, réseaux).</w:t>
        <w:br/>
        <w:t>• Sécurité de l'information : protection du patrimoine informationnel sous toutes ses formes (papier, numérique, savoir-faire, réputation).</w:t>
        <w:br/>
        <w:t>• Cybersécurité : sécurisation des flux et des actifs connectés au cyberespace.</w:t>
        <w:br/>
        <w:t>• Les 4 Piliers DICP :</w:t>
        <w:br/>
        <w:t xml:space="preserve">   - Disponibilité (D) : information et services accessibles au moment voulu par les personnes autorisées.</w:t>
        <w:br/>
        <w:t xml:space="preserve">   - Intégrité (I) : données exactes, complètes et protégées contre toute altération frauduleuse ou accidentelle.</w:t>
        <w:br/>
        <w:t xml:space="preserve">   - Confidentialité (C) : accès strictement restreint aux seuls acteurs habilités.</w:t>
        <w:br/>
        <w:t xml:space="preserve">   - Preuve / Traçabilité (P) : capacité à imputer formellement une action à un acteur et journaliser les événements.</w:t>
      </w:r>
    </w:p>
    <w:p>
      <w:r>
        <w:rPr>
          <w:b/>
          <w:color w:val="0F172A"/>
          <w:sz w:val="22"/>
        </w:rPr>
        <w:t>2.3 Menaces, Vulnérabilités &amp; Analyse des Risques</w:t>
        <w:br/>
      </w:r>
      <w:r>
        <w:rPr>
          <w:color w:val="334155"/>
          <w:sz w:val="19"/>
        </w:rPr>
        <w:t>• Menace : cause potentielle d'incident (ransomware, hameçonnage ciblé, exfiltration, sabotage, erreur humaine, sinistre).</w:t>
        <w:br/>
        <w:t>• Vulnérabilité : faiblesse technique, logicielle, procédurale ou humaine pouvant être exploitée par une menace.</w:t>
        <w:br/>
        <w:t>• Risque Cyber = Probabilité (Vraisemblance) × Impact (Gravité) sur les actifs essentiels.</w:t>
        <w:br/>
        <w:t>• Alignement méthodologique : mise en œuvre de la méthode EBIOS Risk Manager (ANSSI) et conformité ISO 27005.</w:t>
      </w:r>
    </w:p>
    <w:p>
      <w:r>
        <w:rPr>
          <w:b/>
          <w:color w:val="0F172A"/>
          <w:sz w:val="22"/>
        </w:rPr>
        <w:t>2.4 Moyens de Défense, EDR, IDS/IPS &amp; Frameworks d'Attaque</w:t>
        <w:br/>
      </w:r>
      <w:r>
        <w:rPr>
          <w:color w:val="334155"/>
          <w:sz w:val="19"/>
        </w:rPr>
        <w:t>• Antivirus vs EDR (Endpoint Detection &amp; Response) : transition de l'analyse statique par signatures vers l'analyse comportementale heuristique en temps réel.</w:t>
        <w:br/>
        <w:t>• Chaîne de supervision : sondes IDS/IPS, centralisation des journaux dans un SIEM et pilotage SOC.</w:t>
        <w:br/>
        <w:t>• Modélisation des cyberattaques : Cyber Kill Chain (Lockheed Martin) et matrice tactique MITRE ATT&amp;CK.</w:t>
      </w:r>
    </w:p>
    <w:p>
      <w:r>
        <w:rPr>
          <w:b/>
          <w:color w:val="0F172A"/>
          <w:sz w:val="22"/>
        </w:rPr>
        <w:t>2.5 Gouvernance, Conformité &amp; Cadre Légal (ISO 27001, RGPD, NIS 2)</w:t>
        <w:br/>
      </w:r>
      <w:r>
        <w:rPr>
          <w:color w:val="334155"/>
          <w:sz w:val="19"/>
        </w:rPr>
        <w:t>• Normes ISO : ISO 27001 (Système de Management de la Sécurité de l'Information - SMSI) et ISO 27002 (Guide des mesures de sécurité).</w:t>
        <w:br/>
        <w:t>• Réglementations européennes : RGPD (protection des données à caractère personnel, AIPD/PIA, notification de fuites sous 72h), Directive NIS 2 (entités essentielles et importantes) et réglementation DORA pour le secteur financier.</w:t>
      </w:r>
    </w:p>
    <w:p>
      <w:pPr>
        <w:pStyle w:val="Heading1"/>
      </w:pPr>
      <w:r>
        <w:rPr>
          <w:b/>
          <w:color w:val="4C1D95"/>
          <w:sz w:val="26"/>
        </w:rPr>
        <w:t>3. Outils, Démonstrations &amp; Référentiels</w:t>
      </w:r>
    </w:p>
    <w:tbl>
      <w:tblPr>
        <w:tblW w:type="auto" w:w="0"/>
        <w:jc w:val="center"/>
        <w:tblLayout w:type="fixed"/>
        <w:tblLook w:firstColumn="1" w:firstRow="1" w:lastColumn="0" w:lastRow="0" w:noHBand="0" w:noVBand="1" w:val="04A0"/>
      </w:tblPr>
      <w:tblGrid>
        <w:gridCol w:w="3168"/>
        <w:gridCol w:w="6192"/>
      </w:tblGrid>
      <w:tr>
        <w:tc>
          <w:tcPr>
            <w:tcW w:type="dxa" w:w="4968"/>
            <w:shd w:fill="4C1D95"/>
            <w:tcMar>
              <w:top w:w="100" w:type="dxa"/>
              <w:bottom w:w="100" w:type="dxa"/>
              <w:left w:w="150" w:type="dxa"/>
              <w:right w:w="150" w:type="dxa"/>
            </w:tcMar>
          </w:tcPr>
          <w:p>
            <w:r>
              <w:rPr>
                <w:rFonts w:ascii="Calibri" w:hAnsi="Calibri"/>
                <w:b/>
                <w:color w:val="FFFFFF"/>
                <w:sz w:val="19"/>
              </w:rPr>
              <w:t>Outil / Ressource</w:t>
            </w:r>
          </w:p>
        </w:tc>
        <w:tc>
          <w:tcPr>
            <w:tcW w:type="dxa" w:w="4968"/>
            <w:shd w:fill="4C1D95"/>
            <w:tcMar>
              <w:top w:w="100" w:type="dxa"/>
              <w:bottom w:w="100" w:type="dxa"/>
              <w:left w:w="150" w:type="dxa"/>
              <w:right w:w="150" w:type="dxa"/>
            </w:tcMar>
          </w:tcPr>
          <w:p>
            <w:r>
              <w:rPr>
                <w:rFonts w:ascii="Calibri" w:hAnsi="Calibri"/>
                <w:b/>
                <w:color w:val="FFFFFF"/>
                <w:sz w:val="19"/>
              </w:rPr>
              <w:t>Usage &amp; Rôle Pédagogique</w:t>
            </w:r>
          </w:p>
        </w:tc>
      </w:tr>
      <w:tr>
        <w:tc>
          <w:tcPr>
            <w:tcW w:type="dxa" w:w="4968"/>
            <w:shd w:fill="F8FAFC"/>
            <w:tcMar>
              <w:top w:w="80" w:type="dxa"/>
              <w:bottom w:w="80" w:type="dxa"/>
              <w:left w:w="120" w:type="dxa"/>
              <w:right w:w="120" w:type="dxa"/>
            </w:tcMar>
          </w:tcPr>
          <w:p>
            <w:r>
              <w:rPr>
                <w:rFonts w:ascii="Calibri" w:hAnsi="Calibri"/>
                <w:b/>
                <w:color w:val="0F172A"/>
                <w:sz w:val="18"/>
              </w:rPr>
              <w:t>CISO Assistant</w:t>
            </w:r>
          </w:p>
        </w:tc>
        <w:tc>
          <w:tcPr>
            <w:tcW w:type="dxa" w:w="4968"/>
            <w:shd w:fill="F8FAFC"/>
            <w:tcMar>
              <w:top w:w="80" w:type="dxa"/>
              <w:bottom w:w="80" w:type="dxa"/>
              <w:left w:w="120" w:type="dxa"/>
              <w:right w:w="120" w:type="dxa"/>
            </w:tcMar>
          </w:tcPr>
          <w:p>
            <w:r>
              <w:rPr>
                <w:rFonts w:ascii="Calibri" w:hAnsi="Calibri"/>
                <w:color w:val="334155"/>
                <w:sz w:val="18"/>
              </w:rPr>
              <w:t>Plateforme open-source GRC (Gouvernance, Risques et Conformité) utilisée pour modéliser les actifs, risques et plans de remédiation.</w:t>
            </w:r>
          </w:p>
        </w:tc>
      </w:tr>
      <w:tr>
        <w:tc>
          <w:tcPr>
            <w:tcW w:type="dxa" w:w="4968"/>
            <w:shd w:fill="FFFFFF"/>
            <w:tcMar>
              <w:top w:w="80" w:type="dxa"/>
              <w:bottom w:w="80" w:type="dxa"/>
              <w:left w:w="120" w:type="dxa"/>
              <w:right w:w="120" w:type="dxa"/>
            </w:tcMar>
          </w:tcPr>
          <w:p>
            <w:r>
              <w:rPr>
                <w:rFonts w:ascii="Calibri" w:hAnsi="Calibri"/>
                <w:b/>
                <w:color w:val="0F172A"/>
                <w:sz w:val="18"/>
              </w:rPr>
              <w:t>Docker / Docker-Compose</w:t>
            </w:r>
          </w:p>
        </w:tc>
        <w:tc>
          <w:tcPr>
            <w:tcW w:type="dxa" w:w="4968"/>
            <w:shd w:fill="FFFFFF"/>
            <w:tcMar>
              <w:top w:w="80" w:type="dxa"/>
              <w:bottom w:w="80" w:type="dxa"/>
              <w:left w:w="120" w:type="dxa"/>
              <w:right w:w="120" w:type="dxa"/>
            </w:tcMar>
          </w:tcPr>
          <w:p>
            <w:r>
              <w:rPr>
                <w:rFonts w:ascii="Calibri" w:hAnsi="Calibri"/>
                <w:color w:val="334155"/>
                <w:sz w:val="18"/>
              </w:rPr>
              <w:t>Environnement de conteneurisation pour déployer rapidement les labs techniques en local ou sur machine virtuelle.</w:t>
            </w:r>
          </w:p>
        </w:tc>
      </w:tr>
      <w:tr>
        <w:tc>
          <w:tcPr>
            <w:tcW w:type="dxa" w:w="4968"/>
            <w:shd w:fill="F8FAFC"/>
            <w:tcMar>
              <w:top w:w="80" w:type="dxa"/>
              <w:bottom w:w="80" w:type="dxa"/>
              <w:left w:w="120" w:type="dxa"/>
              <w:right w:w="120" w:type="dxa"/>
            </w:tcMar>
          </w:tcPr>
          <w:p>
            <w:r>
              <w:rPr>
                <w:rFonts w:ascii="Calibri" w:hAnsi="Calibri"/>
                <w:b/>
                <w:color w:val="0F172A"/>
                <w:sz w:val="18"/>
              </w:rPr>
              <w:t>Guide Hygiène ANSSI</w:t>
            </w:r>
          </w:p>
        </w:tc>
        <w:tc>
          <w:tcPr>
            <w:tcW w:type="dxa" w:w="4968"/>
            <w:shd w:fill="F8FAFC"/>
            <w:tcMar>
              <w:top w:w="80" w:type="dxa"/>
              <w:bottom w:w="80" w:type="dxa"/>
              <w:left w:w="120" w:type="dxa"/>
              <w:right w:w="120" w:type="dxa"/>
            </w:tcMar>
          </w:tcPr>
          <w:p>
            <w:r>
              <w:rPr>
                <w:rFonts w:ascii="Calibri" w:hAnsi="Calibri"/>
                <w:color w:val="334155"/>
                <w:sz w:val="18"/>
              </w:rPr>
              <w:t>Référentiel des 42 mesures élémentaires pour sécuriser le système d'information des organisations.</w:t>
            </w:r>
          </w:p>
        </w:tc>
      </w:tr>
      <w:tr>
        <w:tc>
          <w:tcPr>
            <w:tcW w:type="dxa" w:w="4968"/>
            <w:shd w:fill="FFFFFF"/>
            <w:tcMar>
              <w:top w:w="80" w:type="dxa"/>
              <w:bottom w:w="80" w:type="dxa"/>
              <w:left w:w="120" w:type="dxa"/>
              <w:right w:w="120" w:type="dxa"/>
            </w:tcMar>
          </w:tcPr>
          <w:p>
            <w:r>
              <w:rPr>
                <w:rFonts w:ascii="Calibri" w:hAnsi="Calibri"/>
                <w:b/>
                <w:color w:val="0F172A"/>
                <w:sz w:val="18"/>
              </w:rPr>
              <w:t>Kahoot &amp; Quiz interactif</w:t>
            </w:r>
          </w:p>
        </w:tc>
        <w:tc>
          <w:tcPr>
            <w:tcW w:type="dxa" w:w="4968"/>
            <w:shd w:fill="FFFFFF"/>
            <w:tcMar>
              <w:top w:w="80" w:type="dxa"/>
              <w:bottom w:w="80" w:type="dxa"/>
              <w:left w:w="120" w:type="dxa"/>
              <w:right w:w="120" w:type="dxa"/>
            </w:tcMar>
          </w:tcPr>
          <w:p>
            <w:r>
              <w:rPr>
                <w:rFonts w:ascii="Calibri" w:hAnsi="Calibri"/>
                <w:color w:val="334155"/>
                <w:sz w:val="18"/>
              </w:rPr>
              <w:t>Validation des acquis en direct et consolidation du vocabulaire normatif et technique.</w:t>
            </w:r>
          </w:p>
        </w:tc>
      </w:tr>
    </w:tbl>
    <w:p/>
    <w:p>
      <w:pPr>
        <w:pStyle w:val="Heading1"/>
      </w:pPr>
      <w:r>
        <w:rPr>
          <w:b/>
          <w:color w:val="4C1D95"/>
          <w:sz w:val="26"/>
        </w:rPr>
        <w:t>4. Questions &amp; Échanges Clés avec les Apprenants</w:t>
      </w:r>
    </w:p>
    <w:p>
      <w:pPr>
        <w:spacing w:after="80"/>
      </w:pPr>
      <w:r>
        <w:rPr>
          <w:b/>
          <w:color w:val="1E1B4B"/>
          <w:sz w:val="19"/>
        </w:rPr>
        <w:t>❓ Didier (Apprenant) : Installation et configuration de CISO Assistant : quelles sont les modalités pratiques recommandées ?</w:t>
        <w:br/>
      </w:r>
      <w:r>
        <w:rPr>
          <w:color w:val="475569"/>
          <w:sz w:val="19"/>
        </w:rPr>
        <w:t>💡 Réponse du Formateur : Plusieurs options sont proposées selon l'environnement de chaque apprenant : déploiement en conteneur Docker local, installation sur Machine Virtuelle dédiée, ou accès direct à l'instance hébergée mise à disposition par l'équipe pédagogique.</w:t>
      </w:r>
    </w:p>
    <w:p>
      <w:pPr>
        <w:spacing w:after="80"/>
      </w:pPr>
      <w:r>
        <w:rPr>
          <w:b/>
          <w:color w:val="1E1B4B"/>
          <w:sz w:val="19"/>
        </w:rPr>
        <w:t>❓ Équipe &amp; Candidats : Articulation entre sécurité technique et conformité RGPD pour le dossier de certification ?</w:t>
        <w:br/>
      </w:r>
      <w:r>
        <w:rPr>
          <w:color w:val="475569"/>
          <w:sz w:val="19"/>
        </w:rPr>
        <w:t>💡 Réponse Formateurs : L'épreuve finale exige de démontrer la conformité aux exigences réglementaires. Le RGPD n'est pas qu'un cadre légal : il impose des mesures concrètes de minimisation, de chiffrement, de traçabilité et de gestion des violations qui doivent figurer dans vos livrables.</w:t>
      </w:r>
    </w:p>
    <w:p/>
    <w:p>
      <w:pPr>
        <w:pStyle w:val="Heading1"/>
      </w:pPr>
      <w:r>
        <w:rPr>
          <w:b/>
          <w:color w:val="4C1D95"/>
          <w:sz w:val="26"/>
        </w:rPr>
        <w:t>5. Checklist &amp; Travail d'Intersession</w:t>
      </w:r>
    </w:p>
    <w:p>
      <w:pPr>
        <w:spacing w:after="60"/>
      </w:pPr>
      <w:r>
        <w:rPr>
          <w:b/>
          <w:color w:val="7C3AED"/>
        </w:rPr>
        <w:t xml:space="preserve">☑  </w:t>
      </w:r>
      <w:r>
        <w:rPr>
          <w:rFonts w:ascii="Calibri" w:hAnsi="Calibri"/>
          <w:color w:val="1E293B"/>
          <w:sz w:val="19"/>
        </w:rPr>
        <w:t>Déployer ou tester CISO Assistant (via Docker local, VM ou instance démo).</w:t>
      </w:r>
    </w:p>
    <w:p>
      <w:pPr>
        <w:spacing w:after="60"/>
      </w:pPr>
      <w:r>
        <w:rPr>
          <w:b/>
          <w:color w:val="7C3AED"/>
        </w:rPr>
        <w:t xml:space="preserve">☑  </w:t>
      </w:r>
      <w:r>
        <w:rPr>
          <w:rFonts w:ascii="Calibri" w:hAnsi="Calibri"/>
          <w:color w:val="1E293B"/>
          <w:sz w:val="19"/>
        </w:rPr>
        <w:t>Consulter les premiers contenus asynchrones et fiches de révision mis à disposition sur l'espace OIDANEOS.</w:t>
      </w:r>
    </w:p>
    <w:p>
      <w:pPr>
        <w:spacing w:after="60"/>
      </w:pPr>
      <w:r>
        <w:rPr>
          <w:b/>
          <w:color w:val="7C3AED"/>
        </w:rPr>
        <w:t xml:space="preserve">☑  </w:t>
      </w:r>
      <w:r>
        <w:rPr>
          <w:rFonts w:ascii="Calibri" w:hAnsi="Calibri"/>
          <w:color w:val="1E293B"/>
          <w:sz w:val="19"/>
        </w:rPr>
        <w:t>Prendre en main la plateforme apprenant et remonter les éventuels besoins d'assistance technique.</w:t>
      </w:r>
    </w:p>
    <w:p>
      <w:pPr>
        <w:spacing w:after="60"/>
      </w:pPr>
      <w:r>
        <w:rPr>
          <w:b/>
          <w:color w:val="7C3AED"/>
        </w:rPr>
        <w:t xml:space="preserve">☑  </w:t>
      </w:r>
      <w:r>
        <w:rPr>
          <w:rFonts w:ascii="Calibri" w:hAnsi="Calibri"/>
          <w:color w:val="1E293B"/>
          <w:sz w:val="19"/>
        </w:rPr>
        <w:t>Réviser la grille des critères DICP et refaire le quiz des fondamentaux pour consolider le vocabulaire.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