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right"/>
      </w:pPr>
      <w:r>
        <w:rPr>
          <w:b/>
          <w:bCs/>
          <w:color w:val="475569"/>
          <w:sz w:val="18"/>
          <w:szCs w:val="18"/>
        </w:rPr>
        <w:t xml:space="preserve">OIDANEOS ACADEMY • CERTIFICATION PASI (217H)</w:t>
      </w:r>
      <w:r>
        <w:rPr>
          <w:b/>
          <w:bCs/>
          <w:color w:val="7C3AED"/>
          <w:sz w:val="18"/>
          <w:szCs w:val="18"/>
        </w:rPr>
        <w:t xml:space="preserve">  |  RÉFÉRENTIEL OFFICIEL</w:t>
      </w:r>
    </w:p>
    <w:p>
      <w:pPr>
        <w:spacing w:after="80" w:before="100"/>
      </w:pPr>
      <w:r>
        <w:rPr>
          <w:b/>
          <w:bCs/>
          <w:color w:val="4C1D95"/>
          <w:sz w:val="32"/>
          <w:szCs w:val="32"/>
        </w:rPr>
        <w:t xml:space="preserve">GUIDE PÉDAGOGIQUE ÉTALON — SÉANCE 14</w:t>
      </w:r>
    </w:p>
    <w:p>
      <w:pPr>
        <w:spacing w:after="200"/>
      </w:pPr>
      <w:r>
        <w:rPr>
          <w:b/>
          <w:bCs/>
          <w:color w:val="0F172A"/>
          <w:sz w:val="24"/>
          <w:szCs w:val="24"/>
        </w:rPr>
        <w:t xml:space="preserve">Sécurité des postes de travail : protection, configuration et durcissement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4C1D95"/>
                <w:sz w:val="19"/>
                <w:szCs w:val="19"/>
              </w:rPr>
              <w:t xml:space="preserve">Bloc de Compétences : </w:t>
            </w:r>
            <w:r>
              <w:rPr>
                <w:color w:val="0F172A"/>
                <w:sz w:val="19"/>
                <w:szCs w:val="19"/>
              </w:rPr>
              <w:t xml:space="preserve">Bloc 3 : Sécurisation &amp; Pentest (63h)</w:t>
            </w:r>
          </w:p>
        </w:tc>
        <w:tc>
          <w:tcPr>
            <w:tcW w:type="pct" w:w="50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4C1D95"/>
                <w:sz w:val="19"/>
                <w:szCs w:val="19"/>
              </w:rPr>
              <w:t xml:space="preserve">Compétences Visées : </w:t>
            </w:r>
            <w:r>
              <w:rPr>
                <w:color w:val="0F172A"/>
                <w:sz w:val="19"/>
                <w:szCs w:val="19"/>
              </w:rPr>
              <w:t xml:space="preserve">C5 — Sécurité des Postes de Travail &amp; Hardening</w:t>
            </w:r>
          </w:p>
        </w:tc>
      </w:tr>
      <w:tr>
        <w:tc>
          <w:tcPr>
            <w:tcW w:type="pct" w:w="50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4C1D95"/>
                <w:sz w:val="19"/>
                <w:szCs w:val="19"/>
              </w:rPr>
              <w:t xml:space="preserve">Format &amp; Rythme : </w:t>
            </w:r>
            <w:r>
              <w:rPr>
                <w:color w:val="0F172A"/>
                <w:sz w:val="19"/>
                <w:szCs w:val="19"/>
              </w:rPr>
              <w:t xml:space="preserve">120-180 min • Classe Virtuelle Live &amp; Asynchrone</w:t>
            </w:r>
          </w:p>
        </w:tc>
        <w:tc>
          <w:tcPr>
            <w:tcW w:type="pct" w:w="50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4C1D95"/>
                <w:sz w:val="19"/>
                <w:szCs w:val="19"/>
              </w:rPr>
              <w:t xml:space="preserve">Présidence du Jury : </w:t>
            </w:r>
            <w:r>
              <w:rPr>
                <w:color w:val="0F172A"/>
                <w:sz w:val="19"/>
                <w:szCs w:val="19"/>
              </w:rPr>
              <w:t xml:space="preserve">Patrice CHELIM • 46 Critères d'Évaluation</w:t>
            </w:r>
          </w:p>
        </w:tc>
      </w:tr>
    </w:tbl>
    <w:p>
      <w:pPr>
        <w:spacing w:after="240"/>
      </w:pPr>
    </w:p>
    <w:p>
      <w:pPr>
        <w:pStyle w:val="Heading2"/>
        <w:spacing w:after="120" w:before="200"/>
      </w:pPr>
      <w:r>
        <w:rPr>
          <w:b/>
          <w:bCs/>
          <w:color w:val="4C1D95"/>
          <w:sz w:val="24"/>
          <w:szCs w:val="24"/>
        </w:rPr>
        <w:t xml:space="preserve">1. CADRAGE PÉDAGOGIQUE &amp; ENJEUX DE CERTIFICATION</w:t>
      </w:r>
    </w:p>
    <w:p>
      <w:pPr>
        <w:spacing w:after="200"/>
      </w:pPr>
      <w:r>
        <w:rPr>
          <w:i w:val="false"/>
          <w:iCs w:val="false"/>
          <w:color w:val="0F172A"/>
          <w:sz w:val="21"/>
          <w:szCs w:val="21"/>
        </w:rPr>
        <w:t xml:space="preserve">Durcir les postes clients et serveurs face aux attaques avancées. Implémentation des guides de durcissement de l'ANSSI et déploiement d'un EDR.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FAF5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b/>
                <w:bCs/>
                <w:color w:val="4C1D95"/>
                <w:sz w:val="20"/>
                <w:szCs w:val="20"/>
              </w:rPr>
              <w:t xml:space="preserve">🎯 Pourquoi cette séance est déterminante pour votre soutenance :</w:t>
            </w:r>
          </w:p>
          <w:p>
            <w:r>
              <w:rPr>
                <w:color w:val="0F172A"/>
                <w:sz w:val="19"/>
                <w:szCs w:val="19"/>
              </w:rPr>
              <w:t xml:space="preserve">La maîtrise des concepts de cette session garantit la validation formelle des critères exigés pour C5. Le jury évaluera votre capacité à argumenter chaque choix technologique et méthodologique face à des scénarios réels de cybermenace.</w:t>
            </w:r>
          </w:p>
        </w:tc>
      </w:tr>
    </w:tbl>
    <w:p>
      <w:pPr>
        <w:spacing w:after="240"/>
      </w:pPr>
    </w:p>
    <w:p>
      <w:pPr>
        <w:pStyle w:val="Heading2"/>
        <w:spacing w:after="140" w:before="200"/>
      </w:pPr>
      <w:r>
        <w:rPr>
          <w:b/>
          <w:bCs/>
          <w:color w:val="4C1D95"/>
          <w:sz w:val="24"/>
          <w:szCs w:val="24"/>
        </w:rPr>
        <w:t xml:space="preserve">2. GRAND DÉCRYPTAGE THÉORIQUE &amp; NOTIONS FONDAMENTALES</w:t>
      </w:r>
    </w:p>
    <w:p>
      <w:pPr>
        <w:spacing w:after="60" w:before="140"/>
      </w:pPr>
      <w:r>
        <w:rPr>
          <w:b/>
          <w:bCs/>
          <w:color w:val="0F172A"/>
          <w:sz w:val="21"/>
          <w:szCs w:val="21"/>
        </w:rPr>
        <w:t xml:space="preserve">2.1 14.1 Guides de Durcissement (Hardening) ANSSI &amp; CIS Benchmarks</w:t>
      </w:r>
    </w:p>
    <w:p>
      <w:pPr>
        <w:spacing w:after="140"/>
      </w:pPr>
      <w:r>
        <w:rPr>
          <w:color w:val="475569"/>
          <w:sz w:val="20"/>
          <w:szCs w:val="20"/>
        </w:rPr>
        <w:t xml:space="preserve">Désactivation des protocoles obsolètes (SMBv1, LLMNR, NBT-NS), restriction de PowerShell, désactivation des macros Office par GPO.</w:t>
      </w:r>
    </w:p>
    <w:p>
      <w:pPr>
        <w:spacing w:after="60" w:before="140"/>
      </w:pPr>
      <w:r>
        <w:rPr>
          <w:b/>
          <w:bCs/>
          <w:color w:val="0F172A"/>
          <w:sz w:val="21"/>
          <w:szCs w:val="21"/>
        </w:rPr>
        <w:t xml:space="preserve">2.2 14.2 Protection des Terminaux : De l'Antivirus à l'EDR</w:t>
      </w:r>
    </w:p>
    <w:p>
      <w:pPr>
        <w:spacing w:after="140"/>
      </w:pPr>
      <w:r>
        <w:rPr>
          <w:color w:val="475569"/>
          <w:sz w:val="20"/>
          <w:szCs w:val="20"/>
        </w:rPr>
        <w:t xml:space="preserve">Fonctionnement d'un EDR (Endpoint Detection and Response) : analyse comportementale en temps réel, détection de mouvements latéraux, isolation automatique du poste.</w:t>
      </w:r>
    </w:p>
    <w:p>
      <w:pPr>
        <w:spacing w:after="60" w:before="140"/>
      </w:pPr>
      <w:r>
        <w:rPr>
          <w:b/>
          <w:bCs/>
          <w:color w:val="0F172A"/>
          <w:sz w:val="21"/>
          <w:szCs w:val="21"/>
        </w:rPr>
        <w:t xml:space="preserve">2.3 14.3 Chiffrement des Disques &amp; Gestion des Correctifs</w:t>
      </w:r>
    </w:p>
    <w:p>
      <w:pPr>
        <w:spacing w:after="140"/>
      </w:pPr>
      <w:r>
        <w:rPr>
          <w:color w:val="475569"/>
          <w:sz w:val="20"/>
          <w:szCs w:val="20"/>
        </w:rPr>
        <w:t xml:space="preserve">Chiffrement intégral des disques durs portables (BitLocker/LUKS) avec puce TPM. Politique de patch management rigoureuse pour les failles critiques (sous 14 jours).</w:t>
      </w:r>
    </w:p>
    <w:p>
      <w:pPr>
        <w:spacing w:after="200"/>
      </w:pPr>
    </w:p>
    <w:p>
      <w:pPr>
        <w:pStyle w:val="Heading2"/>
        <w:spacing w:after="140" w:before="200"/>
      </w:pPr>
      <w:r>
        <w:rPr>
          <w:b/>
          <w:bCs/>
          <w:color w:val="4C1D95"/>
          <w:sz w:val="24"/>
          <w:szCs w:val="24"/>
        </w:rPr>
        <w:t xml:space="preserve">3. CRITÈRES DE VALIDATION DU JURY &amp; CONSEILS DE SOUTENANCE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60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C1D9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Ce que le Jury vérifie obligatoirement</w:t>
            </w:r>
          </w:p>
        </w:tc>
        <w:tc>
          <w:tcPr>
            <w:tcW w:type="pct" w:w="40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7C3AE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💡 Conseil pour la Soutenance Orale</w:t>
            </w:r>
          </w:p>
        </w:tc>
      </w:tr>
      <w:tr>
        <w:tc>
          <w:tcPr>
            <w:tcW w:type="pct" w:w="60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color w:val="0F172A"/>
                <w:sz w:val="19"/>
                <w:szCs w:val="19"/>
              </w:rPr>
              <w:t xml:space="preserve">• Démonstration d'une méthodologie structurée conforme aux normes SSI.</w:t>
            </w:r>
          </w:p>
          <w:p>
            <w:pPr>
              <w:spacing w:after="60"/>
            </w:pPr>
            <w:r>
              <w:rPr>
                <w:color w:val="0F172A"/>
                <w:sz w:val="19"/>
                <w:szCs w:val="19"/>
              </w:rPr>
              <w:t xml:space="preserve">• Justification claire des arbitrages techniques et des mesures de sécurité retenues.</w:t>
            </w:r>
          </w:p>
          <w:p>
            <w:r>
              <w:rPr>
                <w:color w:val="0F172A"/>
                <w:sz w:val="19"/>
                <w:szCs w:val="19"/>
              </w:rPr>
              <w:t xml:space="preserve">• Capacité à présenter des livrables professionnels exploitables par une DSI/RSSI.</w:t>
            </w:r>
          </w:p>
        </w:tc>
        <w:tc>
          <w:tcPr>
            <w:tcW w:type="pct" w:w="40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5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i/>
                <w:iCs/>
                <w:color w:val="0F172A"/>
                <w:sz w:val="19"/>
                <w:szCs w:val="19"/>
              </w:rPr>
              <w:t xml:space="preserve">Présentez toujours une vue macro synthétique avant d'aborder les détails techniques. Appuyez-vous sur des métriques concrètes et expliquez l'impact métier direct.</w:t>
            </w:r>
          </w:p>
        </w:tc>
      </w:tr>
    </w:tbl>
    <w:p>
      <w:pPr>
        <w:spacing w:after="240"/>
      </w:pPr>
    </w:p>
    <w:p>
      <w:pPr>
        <w:pStyle w:val="Heading2"/>
        <w:spacing w:after="120" w:before="200"/>
      </w:pPr>
      <w:r>
        <w:rPr>
          <w:b/>
          <w:bCs/>
          <w:color w:val="4C1D95"/>
          <w:sz w:val="24"/>
          <w:szCs w:val="24"/>
        </w:rPr>
        <w:t xml:space="preserve">4. OUTILS, TECHNOLOGIES &amp; COMMANDES CLÉS</w:t>
      </w:r>
    </w:p>
    <w:p>
      <w:pPr>
        <w:spacing w:after="200"/>
      </w:pPr>
      <w:r>
        <w:rPr>
          <w:b/>
          <w:bCs/>
          <w:color w:val="0F172A"/>
          <w:sz w:val="20"/>
          <w:szCs w:val="20"/>
        </w:rPr>
        <w:t xml:space="preserve">Environnement et boîte à outils de référence : </w:t>
      </w:r>
      <w:r>
        <w:rPr>
          <w:b/>
          <w:bCs/>
          <w:color w:val="7C3AED"/>
          <w:sz w:val="20"/>
          <w:szCs w:val="20"/>
        </w:rPr>
        <w:t xml:space="preserve">EDR (CrowdStrike / Defender for Endpoint) • GPO Hardening (CIS Benchmarks) • BitLocker / LUKS • WSUS / Patch Management • AppLocker</w:t>
      </w:r>
    </w:p>
    <w:p>
      <w:pPr>
        <w:pStyle w:val="Heading2"/>
        <w:spacing w:after="120" w:before="200"/>
      </w:pPr>
      <w:r>
        <w:rPr>
          <w:b/>
          <w:bCs/>
          <w:color w:val="4C1D95"/>
          <w:sz w:val="24"/>
          <w:szCs w:val="24"/>
        </w:rPr>
        <w:t xml:space="preserve">5. CHECKLIST D'ACTION &amp; D'AUTO-ÉVALUATION STAGIAIRE</w:t>
      </w:r>
    </w:p>
    <w:p>
      <w:pPr>
        <w:spacing w:after="80"/>
      </w:pPr>
      <w:r>
        <w:rPr>
          <w:b/>
          <w:bCs/>
          <w:color w:val="047857"/>
          <w:sz w:val="20"/>
          <w:szCs w:val="20"/>
        </w:rPr>
        <w:t xml:space="preserve">  [  ]  </w:t>
      </w:r>
      <w:r>
        <w:rPr>
          <w:color w:val="0F172A"/>
          <w:sz w:val="20"/>
          <w:szCs w:val="20"/>
        </w:rPr>
        <w:t xml:space="preserve">Appliquer les règles de durcissement recommandées par l'ANSSI sur un poste test</w:t>
      </w:r>
    </w:p>
    <w:p>
      <w:pPr>
        <w:spacing w:after="80"/>
      </w:pPr>
      <w:r>
        <w:rPr>
          <w:b/>
          <w:bCs/>
          <w:color w:val="047857"/>
          <w:sz w:val="20"/>
          <w:szCs w:val="20"/>
        </w:rPr>
        <w:t xml:space="preserve">  [  ]  </w:t>
      </w:r>
      <w:r>
        <w:rPr>
          <w:color w:val="0F172A"/>
          <w:sz w:val="20"/>
          <w:szCs w:val="20"/>
        </w:rPr>
        <w:t xml:space="preserve">Vérifier le chiffrement complet des disques sur le parc nomade</w:t>
      </w:r>
    </w:p>
    <w:p>
      <w:pPr>
        <w:spacing w:after="80"/>
      </w:pPr>
      <w:r>
        <w:rPr>
          <w:b/>
          <w:bCs/>
          <w:color w:val="047857"/>
          <w:sz w:val="20"/>
          <w:szCs w:val="20"/>
        </w:rPr>
        <w:t xml:space="preserve">  [  ]  </w:t>
      </w:r>
      <w:r>
        <w:rPr>
          <w:color w:val="0F172A"/>
          <w:sz w:val="20"/>
          <w:szCs w:val="20"/>
        </w:rPr>
        <w:t xml:space="preserve">Mettre en place la surveillance des alertes EDR</w:t>
      </w:r>
    </w:p>
    <w:p>
      <w:pPr>
        <w:spacing w:before="300"/>
        <w:jc w:val="center"/>
      </w:pPr>
      <w:r>
        <w:rPr>
          <w:i/>
          <w:iCs/>
          <w:color w:val="475569"/>
          <w:sz w:val="16"/>
          <w:szCs w:val="16"/>
        </w:rPr>
        <w:t xml:space="preserve">OIDANEOS © 2026 — Tous droits réservés • Document pédagogique officiel pour la certification PASI Cybersécurité (217h)</w:t>
      </w:r>
    </w:p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2026-09-07T18:23:50.601Z</dcterms:created>
  <dcterms:modified xsi:type="dcterms:W3CDTF">2026-09-07T18:23:50.601Z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