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rPr>
          <w:b/>
          <w:bCs/>
          <w:color w:val="475569"/>
          <w:sz w:val="18"/>
          <w:szCs w:val="18"/>
        </w:rPr>
        <w:t xml:space="preserve">OIDANEOS ACADEMY • CERTIFICATION PASI (217H)</w:t>
      </w:r>
      <w:r>
        <w:rPr>
          <w:b/>
          <w:bCs/>
          <w:color w:val="7C3AED"/>
          <w:sz w:val="18"/>
          <w:szCs w:val="18"/>
        </w:rPr>
        <w:t xml:space="preserve">  |  RÉFÉRENTIEL OFFICIEL</w:t>
      </w:r>
    </w:p>
    <w:p>
      <w:pPr>
        <w:spacing w:after="80" w:before="100"/>
      </w:pPr>
      <w:r>
        <w:rPr>
          <w:b/>
          <w:bCs/>
          <w:color w:val="4C1D95"/>
          <w:sz w:val="32"/>
          <w:szCs w:val="32"/>
        </w:rPr>
        <w:t xml:space="preserve">GUIDE PÉDAGOGIQUE ÉTALON — SÉANCE 02</w:t>
      </w:r>
    </w:p>
    <w:p>
      <w:pPr>
        <w:spacing w:after="200"/>
      </w:pPr>
      <w:r>
        <w:rPr>
          <w:b/>
          <w:bCs/>
          <w:color w:val="0F172A"/>
          <w:sz w:val="24"/>
          <w:szCs w:val="24"/>
        </w:rPr>
        <w:t xml:space="preserve">Module 1.1 — Fondamentaux de la SSI et des réseaux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4C1D95"/>
                <w:sz w:val="19"/>
                <w:szCs w:val="19"/>
              </w:rPr>
              <w:t xml:space="preserve">Bloc de Compétences : </w:t>
            </w:r>
            <w:r>
              <w:rPr>
                <w:color w:val="0F172A"/>
                <w:sz w:val="19"/>
                <w:szCs w:val="19"/>
              </w:rPr>
              <w:t xml:space="preserve">Bloc 1 : Fondamentaux de la SSI (42h)</w:t>
            </w:r>
          </w:p>
        </w:tc>
        <w:tc>
          <w:tcPr>
            <w:tcW w:type="pct" w:w="5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4C1D95"/>
                <w:sz w:val="19"/>
                <w:szCs w:val="19"/>
              </w:rPr>
              <w:t xml:space="preserve">Compétences Visées : </w:t>
            </w:r>
            <w:r>
              <w:rPr>
                <w:color w:val="0F172A"/>
                <w:sz w:val="19"/>
                <w:szCs w:val="19"/>
              </w:rPr>
              <w:t xml:space="preserve">C1 — État des lieux du SI &amp; Classification DICP</w:t>
            </w:r>
          </w:p>
        </w:tc>
      </w:tr>
      <w:tr>
        <w:tc>
          <w:tcPr>
            <w:tcW w:type="pct" w:w="5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4C1D95"/>
                <w:sz w:val="19"/>
                <w:szCs w:val="19"/>
              </w:rPr>
              <w:t xml:space="preserve">Format &amp; Rythme : </w:t>
            </w:r>
            <w:r>
              <w:rPr>
                <w:color w:val="0F172A"/>
                <w:sz w:val="19"/>
                <w:szCs w:val="19"/>
              </w:rPr>
              <w:t xml:space="preserve">120-180 min • Classe Virtuelle Live &amp; Asynchrone</w:t>
            </w:r>
          </w:p>
        </w:tc>
        <w:tc>
          <w:tcPr>
            <w:tcW w:type="pct" w:w="5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4C1D95"/>
                <w:sz w:val="19"/>
                <w:szCs w:val="19"/>
              </w:rPr>
              <w:t xml:space="preserve">Présidence du Jury : </w:t>
            </w:r>
            <w:r>
              <w:rPr>
                <w:color w:val="0F172A"/>
                <w:sz w:val="19"/>
                <w:szCs w:val="19"/>
              </w:rPr>
              <w:t xml:space="preserve">Patrice CHELIM • 46 Critères d'Évaluation</w:t>
            </w:r>
          </w:p>
        </w:tc>
      </w:tr>
    </w:tbl>
    <w:p>
      <w:pPr>
        <w:spacing w:after="240"/>
      </w:pPr>
    </w:p>
    <w:p>
      <w:pPr>
        <w:pStyle w:val="Heading2"/>
        <w:spacing w:after="120" w:before="200"/>
      </w:pPr>
      <w:r>
        <w:rPr>
          <w:b/>
          <w:bCs/>
          <w:color w:val="4C1D95"/>
          <w:sz w:val="24"/>
          <w:szCs w:val="24"/>
        </w:rPr>
        <w:t xml:space="preserve">1. CADRAGE PÉDAGOGIQUE &amp; ENJEUX DE CERTIFICATION</w:t>
      </w:r>
    </w:p>
    <w:p>
      <w:pPr>
        <w:spacing w:after="200"/>
      </w:pPr>
      <w:r>
        <w:rPr>
          <w:i w:val="false"/>
          <w:iCs w:val="false"/>
          <w:color w:val="0F172A"/>
          <w:sz w:val="21"/>
          <w:szCs w:val="21"/>
        </w:rPr>
        <w:t xml:space="preserve">Maîtriser les concepts fondamentaux de la sécurité des systèmes d'information, les protocoles de communication et la méthode de classification des actifs selon les critères Disponibilité, Intégrité, Confidentialité et Preuve (DICP).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AF5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4C1D95"/>
                <w:sz w:val="20"/>
                <w:szCs w:val="20"/>
              </w:rPr>
              <w:t xml:space="preserve">🎯 Pourquoi cette séance est déterminante pour votre soutenance :</w:t>
            </w:r>
          </w:p>
          <w:p>
            <w:r>
              <w:rPr>
                <w:color w:val="0F172A"/>
                <w:sz w:val="19"/>
                <w:szCs w:val="19"/>
              </w:rPr>
              <w:t xml:space="preserve">La maîtrise des concepts de cette session garantit la validation formelle des critères exigés pour C1. Le jury évaluera votre capacité à argumenter chaque choix technologique et méthodologique face à des scénarios réels de cybermenace.</w:t>
            </w:r>
          </w:p>
        </w:tc>
      </w:tr>
    </w:tbl>
    <w:p>
      <w:pPr>
        <w:spacing w:after="240"/>
      </w:pPr>
    </w:p>
    <w:p>
      <w:pPr>
        <w:pStyle w:val="Heading2"/>
        <w:spacing w:after="140" w:before="200"/>
      </w:pPr>
      <w:r>
        <w:rPr>
          <w:b/>
          <w:bCs/>
          <w:color w:val="4C1D95"/>
          <w:sz w:val="24"/>
          <w:szCs w:val="24"/>
        </w:rPr>
        <w:t xml:space="preserve">2. GRAND DÉCRYPTAGE THÉORIQUE &amp; NOTIONS FONDAMENTALES</w:t>
      </w:r>
    </w:p>
    <w:p>
      <w:pPr>
        <w:spacing w:after="60" w:before="140"/>
      </w:pPr>
      <w:r>
        <w:rPr>
          <w:b/>
          <w:bCs/>
          <w:color w:val="0F172A"/>
          <w:sz w:val="21"/>
          <w:szCs w:val="21"/>
        </w:rPr>
        <w:t xml:space="preserve">2.1 Les Piliers DICP et la Classification des Actifs</w:t>
      </w:r>
    </w:p>
    <w:p>
      <w:pPr>
        <w:spacing w:after="140"/>
      </w:pPr>
      <w:r>
        <w:rPr>
          <w:color w:val="475569"/>
          <w:sz w:val="20"/>
          <w:szCs w:val="20"/>
        </w:rPr>
        <w:t xml:space="preserve">Définition rigoureuse des critères Disponibilité, Intégrité, Confidentialité et Traçabilité/Preuve. Méthode de cotation des actifs d'information et détermination des seuils de criticité métier.</w:t>
      </w:r>
    </w:p>
    <w:p>
      <w:pPr>
        <w:spacing w:after="60" w:before="140"/>
      </w:pPr>
      <w:r>
        <w:rPr>
          <w:b/>
          <w:bCs/>
          <w:color w:val="0F172A"/>
          <w:sz w:val="21"/>
          <w:szCs w:val="21"/>
        </w:rPr>
        <w:t xml:space="preserve">2.2 Fondamentaux des Réseaux &amp; Protocoles de Communication</w:t>
      </w:r>
    </w:p>
    <w:p>
      <w:pPr>
        <w:spacing w:after="140"/>
      </w:pPr>
      <w:r>
        <w:rPr>
          <w:color w:val="475569"/>
          <w:sz w:val="20"/>
          <w:szCs w:val="20"/>
        </w:rPr>
        <w:t xml:space="preserve">Analyse approfondie du modèle OSI (couches 1 à 7) et de la pile TCP/IP. Identification des vulnérabilités inhérentes aux protocoles non chiffrés (HTTP, Telnet, FTP) et principes d'encapsulation.</w:t>
      </w:r>
    </w:p>
    <w:p>
      <w:pPr>
        <w:spacing w:after="60" w:before="140"/>
      </w:pPr>
      <w:r>
        <w:rPr>
          <w:b/>
          <w:bCs/>
          <w:color w:val="0F172A"/>
          <w:sz w:val="21"/>
          <w:szCs w:val="21"/>
        </w:rPr>
        <w:t xml:space="preserve">2.3 Cartographie du Système d'Information</w:t>
      </w:r>
    </w:p>
    <w:p>
      <w:pPr>
        <w:spacing w:after="140"/>
      </w:pPr>
      <w:r>
        <w:rPr>
          <w:color w:val="475569"/>
          <w:sz w:val="20"/>
          <w:szCs w:val="20"/>
        </w:rPr>
        <w:t xml:space="preserve">Méthodologie d'inventaire des composants matériels, logiciels, serveurs et flux d'interconnexion. Établissement du schéma directeur de sécurité et cartographie des zones de confiance.</w:t>
      </w:r>
    </w:p>
    <w:p>
      <w:pPr>
        <w:spacing w:after="200"/>
      </w:pPr>
    </w:p>
    <w:p>
      <w:pPr>
        <w:pStyle w:val="Heading2"/>
        <w:spacing w:after="140" w:before="200"/>
      </w:pPr>
      <w:r>
        <w:rPr>
          <w:b/>
          <w:bCs/>
          <w:color w:val="4C1D95"/>
          <w:sz w:val="24"/>
          <w:szCs w:val="24"/>
        </w:rPr>
        <w:t xml:space="preserve">3. CRITÈRES DE VALIDATION DU JURY &amp; CONSEILS DE SOUTENANCE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4C1D9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Ce que le Jury vérifie obligatoirement</w:t>
            </w:r>
          </w:p>
        </w:tc>
        <w:tc>
          <w:tcPr>
            <w:tcW w:type="pct" w:w="4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7C3AE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💡 Conseil pour la Soutenance Orale</w:t>
            </w:r>
          </w:p>
        </w:tc>
      </w:tr>
      <w:tr>
        <w:tc>
          <w:tcPr>
            <w:tcW w:type="pct" w:w="6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color w:val="0F172A"/>
                <w:sz w:val="19"/>
                <w:szCs w:val="19"/>
              </w:rPr>
              <w:t xml:space="preserve">• Démonstration d'une méthodologie structurée conforme aux normes SSI.</w:t>
            </w:r>
          </w:p>
          <w:p>
            <w:pPr>
              <w:spacing w:after="60"/>
            </w:pPr>
            <w:r>
              <w:rPr>
                <w:color w:val="0F172A"/>
                <w:sz w:val="19"/>
                <w:szCs w:val="19"/>
              </w:rPr>
              <w:t xml:space="preserve">• Justification claire des arbitrages techniques et des mesures de sécurité retenues.</w:t>
            </w:r>
          </w:p>
          <w:p>
            <w:r>
              <w:rPr>
                <w:color w:val="0F172A"/>
                <w:sz w:val="19"/>
                <w:szCs w:val="19"/>
              </w:rPr>
              <w:t xml:space="preserve">• Capacité à présenter des livrables professionnels exploitables par une DSI/RSSI.</w:t>
            </w:r>
          </w:p>
        </w:tc>
        <w:tc>
          <w:tcPr>
            <w:tcW w:type="pct" w:w="40%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5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i/>
                <w:iCs/>
                <w:color w:val="0F172A"/>
                <w:sz w:val="19"/>
                <w:szCs w:val="19"/>
              </w:rPr>
              <w:t xml:space="preserve">Présentez toujours une vue macro synthétique avant d'aborder les détails techniques. Appuyez-vous sur des métriques concrètes et expliquez l'impact métier direct.</w:t>
            </w:r>
          </w:p>
        </w:tc>
      </w:tr>
    </w:tbl>
    <w:p>
      <w:pPr>
        <w:spacing w:after="240"/>
      </w:pPr>
    </w:p>
    <w:p>
      <w:pPr>
        <w:pStyle w:val="Heading2"/>
        <w:spacing w:after="120" w:before="200"/>
      </w:pPr>
      <w:r>
        <w:rPr>
          <w:b/>
          <w:bCs/>
          <w:color w:val="4C1D95"/>
          <w:sz w:val="24"/>
          <w:szCs w:val="24"/>
        </w:rPr>
        <w:t xml:space="preserve">4. OUTILS, TECHNOLOGIES &amp; COMMANDES CLÉS</w:t>
      </w:r>
    </w:p>
    <w:p>
      <w:pPr>
        <w:spacing w:after="200"/>
      </w:pPr>
      <w:r>
        <w:rPr>
          <w:b/>
          <w:bCs/>
          <w:color w:val="0F172A"/>
          <w:sz w:val="20"/>
          <w:szCs w:val="20"/>
        </w:rPr>
        <w:t xml:space="preserve">Environnement et boîte à outils de référence : </w:t>
      </w:r>
      <w:r>
        <w:rPr>
          <w:b/>
          <w:bCs/>
          <w:color w:val="7C3AED"/>
          <w:sz w:val="20"/>
          <w:szCs w:val="20"/>
        </w:rPr>
        <w:t xml:space="preserve">Wireshark • Nmap • Cartographie Réseau • Matrice DICP • Modèle OSI</w:t>
      </w:r>
    </w:p>
    <w:p>
      <w:pPr>
        <w:pStyle w:val="Heading2"/>
        <w:spacing w:after="120" w:before="200"/>
      </w:pPr>
      <w:r>
        <w:rPr>
          <w:b/>
          <w:bCs/>
          <w:color w:val="4C1D95"/>
          <w:sz w:val="24"/>
          <w:szCs w:val="24"/>
        </w:rPr>
        <w:t xml:space="preserve">5. CHECKLIST D'ACTION &amp; D'AUTO-ÉVALUATION STAGIAIRE</w:t>
      </w:r>
    </w:p>
    <w:p>
      <w:pPr>
        <w:spacing w:after="80"/>
      </w:pPr>
      <w:r>
        <w:rPr>
          <w:b/>
          <w:bCs/>
          <w:color w:val="047857"/>
          <w:sz w:val="20"/>
          <w:szCs w:val="20"/>
        </w:rPr>
        <w:t xml:space="preserve">  [  ]  </w:t>
      </w:r>
      <w:r>
        <w:rPr>
          <w:color w:val="0F172A"/>
          <w:sz w:val="20"/>
          <w:szCs w:val="20"/>
        </w:rPr>
        <w:t xml:space="preserve">Télécharger la fiche révision Word du Module 1.1</w:t>
      </w:r>
    </w:p>
    <w:p>
      <w:pPr>
        <w:spacing w:after="80"/>
      </w:pPr>
      <w:r>
        <w:rPr>
          <w:b/>
          <w:bCs/>
          <w:color w:val="047857"/>
          <w:sz w:val="20"/>
          <w:szCs w:val="20"/>
        </w:rPr>
        <w:t xml:space="preserve">  [  ]  </w:t>
      </w:r>
      <w:r>
        <w:rPr>
          <w:color w:val="0F172A"/>
          <w:sz w:val="20"/>
          <w:szCs w:val="20"/>
        </w:rPr>
        <w:t xml:space="preserve">Établir la matrice de criticité DICP sur un périmètre applicatif</w:t>
      </w:r>
    </w:p>
    <w:p>
      <w:pPr>
        <w:spacing w:after="80"/>
      </w:pPr>
      <w:r>
        <w:rPr>
          <w:b/>
          <w:bCs/>
          <w:color w:val="047857"/>
          <w:sz w:val="20"/>
          <w:szCs w:val="20"/>
        </w:rPr>
        <w:t xml:space="preserve">  [  ]  </w:t>
      </w:r>
      <w:r>
        <w:rPr>
          <w:color w:val="0F172A"/>
          <w:sz w:val="20"/>
          <w:szCs w:val="20"/>
        </w:rPr>
        <w:t xml:space="preserve">Identifier les 5 protocoles critiques à sécuriser en priorité</w:t>
      </w:r>
    </w:p>
    <w:p>
      <w:pPr>
        <w:spacing w:before="300"/>
        <w:jc w:val="center"/>
      </w:pPr>
      <w:r>
        <w:rPr>
          <w:i/>
          <w:iCs/>
          <w:color w:val="475569"/>
          <w:sz w:val="16"/>
          <w:szCs w:val="16"/>
        </w:rPr>
        <w:t xml:space="preserve">OIDANEOS © 2026 — Tous droits réservés • Document pédagogique officiel pour la certification PASI Cybersécurité (217h)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2026-09-07T18:23:50.496Z</dcterms:created>
  <dcterms:modified xsi:type="dcterms:W3CDTF">2026-09-07T18:23:50.496Z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