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11</w:t>
      </w:r>
    </w:p>
    <w:p>
      <w:pPr>
        <w:spacing w:after="280"/>
      </w:pPr>
      <w:r>
        <w:rPr>
          <w:i/>
          <w:color w:val="D6398F"/>
          <w:sz w:val="26"/>
        </w:rPr>
        <w:t>Session 11 : Industrialisation, Scalabilité &amp; Sécurité : Passage du prototype à l'environnement de production : gestion des volumes, clés sécurisées et supervision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17 Août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Passage du prototype à l'environnement de production : gestion des volumes, clés sécurisées et supervision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L'industrialisation consiste à rendre son application stable lorsque plusieurs dizaines ou centaines d'utilisateurs s'y connectent simultanément.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Sécurisation des variables d'environnement : </w:t>
      </w:r>
      <w:r>
        <w:t>Ne jamais exposer ses clés d'API côté client. Utiliser un proxy serveur ou des fonctions serverless intermédiaires.</w:t>
      </w:r>
    </w:p>
    <w:p>
      <w:r>
        <w:rPr>
          <w:b/>
        </w:rPr>
        <w:t xml:space="preserve">2. Supervision des coûts d'API (FinOps IA) : </w:t>
      </w:r>
      <w:r>
        <w:t>Mettre en place des quotas d'appels et des seuils d'alerte budgétaires pour éviter les mauvaises surprises de facturation.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Revue des flux de données et sécurisation : </w:t>
      </w:r>
      <w:r>
        <w:t>Vérification des droits d'accès et mise en place de politiques de confidentialité conformes RGPD.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Baserow Permissions, Vercel / Supabase, OpenAI Dashboard Usage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01:05:00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 clé API exposée dans le code HTML est compromise en moins de 10 minutes par les robots du web.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Sécuriser toutes ses clés d'accès dans des variables d'environnement</w:t>
      </w:r>
    </w:p>
    <w:p>
      <w:pPr>
        <w:pStyle w:val="ListBullet"/>
      </w:pPr>
      <w:r>
        <w:t>Configurer une limite de dépenses mensuelle sur son compte d'API</w:t>
      </w:r>
    </w:p>
    <w:p>
      <w:pPr>
        <w:pStyle w:val="ListBullet"/>
      </w:pPr>
      <w:r>
        <w:t>Documenter les règles de protection des données de son projet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