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13</w:t>
      </w:r>
    </w:p>
    <w:p>
      <w:pPr>
        <w:spacing w:after="280"/>
      </w:pPr>
      <w:r>
        <w:rPr>
          <w:i/>
          <w:color w:val="D6398F"/>
          <w:sz w:val="26"/>
        </w:rPr>
        <w:t>Session 13 : Préparation aux Évaluations &amp; Bilan Final : Soutenance blanche, alignement sur le référentiel de compétences et clôture officielle du cursus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LACOMBE, Milène PAUL &amp; Alain-Franck VALERO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31 Août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Soutenance blanche, alignement sur le référentiel de compétences et clôture officielle du cursus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Apogée du parcours de formation. Les apprenants valident l'alignement de leurs applications avec les exigences du titre professionnel avant la présentation au jury officiel.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La structure d'une soutenance réussie (15 min chrono) : </w:t>
      </w:r>
      <w:r>
        <w:t>5 min de contexte &amp; besoin métier • 5 min de démonstration live • 5 min de recul critique &amp; perspectives d'évolution.</w:t>
      </w:r>
    </w:p>
    <w:p>
      <w:r>
        <w:rPr>
          <w:b/>
        </w:rPr>
        <w:t xml:space="preserve">2. Actualisation continue du journal de bord par l'IA : </w:t>
      </w:r>
      <w:r>
        <w:t>Méthode partagée par Alain pour exploiter un LLM afin de synthétiser ses journaux de bord et faire ressortir ses acquis de compétences.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Simulations de soutenances blanches : </w:t>
      </w:r>
      <w:r>
        <w:t>Passage en conditions réelles avec questions-réponses incisives des formateurs dans le rôle du jury.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Support de Présentation, Application Finale, Journal de Bord Certifié, Digiforma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00:32:25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Alain Valero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devrait profiter d'un moment de la session pour remontrer le journal de bord et même l'actualiser via une IA pour chacun.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01:08:16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Alain Valero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Diane et Antho, avec vos applications vous êtes déjà prêts pour le journal de bord et le jury !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Finaliser ses slides de soutenance officielle</w:t>
      </w:r>
    </w:p>
    <w:p>
      <w:pPr>
        <w:pStyle w:val="ListBullet"/>
      </w:pPr>
      <w:r>
        <w:t>Vérifier que son application est accessible en ligne sans mot de passe temporaire</w:t>
      </w:r>
    </w:p>
    <w:p>
      <w:pPr>
        <w:pStyle w:val="ListBullet"/>
      </w:pPr>
      <w:r>
        <w:t>Exporter et signer son journal de bord complet</w:t>
      </w:r>
    </w:p>
    <w:p>
      <w:pPr>
        <w:pStyle w:val="ListBullet"/>
      </w:pPr>
      <w:r>
        <w:t>Valider le dépôt de ses livrables sur Digiforma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