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6D28A6"/>
          <w:sz w:val="44"/>
        </w:rPr>
        <w:t>GUIDE PÉDAGOGIQUE ÉTALON — SESSION 2</w:t>
      </w:r>
    </w:p>
    <w:p>
      <w:pPr>
        <w:spacing w:after="280"/>
      </w:pPr>
      <w:r>
        <w:rPr>
          <w:i/>
          <w:color w:val="D6398F"/>
          <w:sz w:val="26"/>
        </w:rPr>
        <w:t>Session 2 : Cas Pratiques Celestory &amp; Journal de Bord : Gestion fine des variables dynamiques et formalisation du livrable de certification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Formation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Concepteur &amp; Développeur d'Applications IA No-Code (OIDANEOS)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Intervenant(s)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Milène PAUL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Date du direct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15 Juin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Thématique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Gestion fine des variables dynamiques et formalisation du livrable de certification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Transcription intégrale de la séance Zoom &amp; échanges réels du chat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1. Cadrage &amp; Enjeux de la Séance</w:t>
      </w:r>
    </w:p>
    <w:p>
      <w:r>
        <w:t>Cette session ancre la rigueur méthodologique exigée par le référentiel de compétences : la tenue continue du journal de bord de projet.</w:t>
      </w:r>
    </w:p>
    <w:p>
      <w:pPr>
        <w:pStyle w:val="Heading1"/>
      </w:pPr>
      <w:r>
        <w:rPr>
          <w:color w:val="6D28A6"/>
        </w:rPr>
        <w:t>2. Décryptage Théorique &amp; Concepts Clés</w:t>
      </w:r>
    </w:p>
    <w:p>
      <w:r>
        <w:rPr>
          <w:b/>
        </w:rPr>
        <w:t xml:space="preserve">1. Le Journal de Bord comme pièce maîtresse du jury : </w:t>
      </w:r>
      <w:r>
        <w:t>Le jury n'évalue pas seulement l'application finale, mais la traçabilité des décisions techniques, les difficultés surmontées et la démarche itérative.</w:t>
      </w:r>
    </w:p>
    <w:p>
      <w:r>
        <w:rPr>
          <w:b/>
        </w:rPr>
        <w:t xml:space="preserve">2. Variables globales vs variables de session : </w:t>
      </w:r>
      <w:r>
        <w:t>Comment mémoriser les choix d'un utilisateur au long d'un parcours sans perdre le contexte d'interaction.</w:t>
      </w:r>
    </w:p>
    <w:p>
      <w:pPr>
        <w:pStyle w:val="Heading1"/>
      </w:pPr>
      <w:r>
        <w:rPr>
          <w:color w:val="6D28A6"/>
        </w:rPr>
        <w:t>3. Cas Pratiques &amp; Méthodologie Appliquée</w:t>
      </w:r>
    </w:p>
    <w:p>
      <w:r>
        <w:rPr>
          <w:b/>
        </w:rPr>
        <w:t xml:space="preserve">Cas pratique 1 - Simulation live d'un cas interactif : </w:t>
      </w:r>
      <w:r>
        <w:t>Débogage en direct d'un scénario Celestory avec affichage dynamique de variables calculées.</w:t>
      </w:r>
    </w:p>
    <w:p>
      <w:pPr>
        <w:pStyle w:val="Heading1"/>
      </w:pPr>
      <w:r>
        <w:rPr>
          <w:color w:val="6D28A6"/>
        </w:rPr>
        <w:t>4. Outils &amp; Technologies Manipulés</w:t>
      </w:r>
    </w:p>
    <w:p>
      <w:r>
        <w:t>Celestory Studio, Notion / Journal de bord, Figma, Google Docs</w:t>
      </w:r>
    </w:p>
    <w:p>
      <w:pPr>
        <w:pStyle w:val="Heading1"/>
      </w:pPr>
      <w:r>
        <w:rPr>
          <w:color w:val="6D28A6"/>
        </w:rPr>
        <w:t>5. Temps Forts &amp; Éléments Partagés dans le Chat Zoom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Horodatage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Intervenant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Contenu / Lien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00:19:22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Milène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Notez chaque blocage technique et la solution trouvée dans votre journal de bord.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6. Checklist d'Action Stagiaire</w:t>
      </w:r>
    </w:p>
    <w:p>
      <w:pPr>
        <w:pStyle w:val="ListBullet"/>
      </w:pPr>
      <w:r>
        <w:t>Compléter la première section de son journal de bord</w:t>
      </w:r>
    </w:p>
    <w:p>
      <w:pPr>
        <w:pStyle w:val="ListBullet"/>
      </w:pPr>
      <w:r>
        <w:t>Intégrer au moins 2 variables dynamiques dans son graphe Celestory</w:t>
      </w:r>
    </w:p>
    <w:p>
      <w:pPr>
        <w:pStyle w:val="ListBullet"/>
      </w:pPr>
      <w:r>
        <w:t>Tester son parcours utilisateur sur smartphone et ordinateur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