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D6398F"/>
          <w:sz w:val="17"/>
        </w:rPr>
        <w:t>FORMATION OIDANEOS — CONCEPTEUR &amp; DÉVELOPPEUR D'APPLICATIONS IA NO-CODE</w:t>
      </w:r>
    </w:p>
    <w:p>
      <w:pPr>
        <w:spacing w:after="40"/>
      </w:pPr>
      <w:r>
        <w:rPr>
          <w:b/>
          <w:color w:val="4E1D82"/>
          <w:sz w:val="40"/>
        </w:rPr>
        <w:t>GUIDE PÉDAGOGIQUE ÉTALON (LIVE-TO-ASSET) — SESSION 1</w:t>
      </w:r>
    </w:p>
    <w:p>
      <w:pPr>
        <w:spacing w:after="240"/>
      </w:pPr>
      <w:r>
        <w:rPr>
          <w:i/>
          <w:color w:val="D6398F"/>
          <w:sz w:val="22"/>
        </w:rPr>
        <w:t>Session 1 : Cadrage des Cas Pratiques &amp; Préparation Certification : Méthode de sélection d'un cas d'usage viable, architecture fonctionnelle sur Celestory et structuration des données</w:t>
      </w:r>
    </w:p>
    <w:tbl>
      <w:tblPr>
        <w:tblW w:type="auto" w:w="0"/>
        <w:jc w:val="center"/>
        <w:tblLook w:firstColumn="1" w:firstRow="1" w:lastColumn="0" w:lastRow="0" w:noHBand="0" w:noVBand="1" w:val="04A0"/>
      </w:tblPr>
      <w:tblGrid>
        <w:gridCol w:w="4968"/>
        <w:gridCol w:w="4968"/>
      </w:tblGrid>
      <w:tr>
        <w:tc>
          <w:tcPr>
            <w:tcW w:type="dxa" w:w="4968"/>
          </w:tcPr>
          <w:p>
            <w:r>
              <w:rPr>
                <w:b/>
                <w:color w:val="6D28A6"/>
                <w:sz w:val="18"/>
              </w:rPr>
              <w:t>Certification Visée</w:t>
            </w:r>
          </w:p>
        </w:tc>
        <w:tc>
          <w:tcPr>
            <w:tcW w:type="dxa" w:w="4968"/>
          </w:tcPr>
          <w:p>
            <w:r>
              <w:rPr>
                <w:sz w:val="18"/>
              </w:rPr>
              <w:t>Concepteur &amp; Développeur d'Applications IA No-Code — OIDANEOS</w:t>
            </w:r>
          </w:p>
        </w:tc>
      </w:tr>
      <w:tr>
        <w:tc>
          <w:tcPr>
            <w:tcW w:type="dxa" w:w="4968"/>
          </w:tcPr>
          <w:p>
            <w:r>
              <w:rPr>
                <w:b/>
                <w:color w:val="6D28A6"/>
                <w:sz w:val="18"/>
              </w:rPr>
              <w:t>Intervenant(s)</w:t>
            </w:r>
          </w:p>
        </w:tc>
        <w:tc>
          <w:tcPr>
            <w:tcW w:type="dxa" w:w="4968"/>
          </w:tcPr>
          <w:p>
            <w:r>
              <w:rPr>
                <w:sz w:val="18"/>
              </w:rPr>
              <w:t>Milène PAUL (Coordination) &amp; Alain-Franck VALERO</w:t>
            </w:r>
          </w:p>
        </w:tc>
      </w:tr>
      <w:tr>
        <w:tc>
          <w:tcPr>
            <w:tcW w:type="dxa" w:w="4968"/>
          </w:tcPr>
          <w:p>
            <w:r>
              <w:rPr>
                <w:b/>
                <w:color w:val="6D28A6"/>
                <w:sz w:val="18"/>
              </w:rPr>
              <w:t>Date &amp; Durée</w:t>
            </w:r>
          </w:p>
        </w:tc>
        <w:tc>
          <w:tcPr>
            <w:tcW w:type="dxa" w:w="4968"/>
          </w:tcPr>
          <w:p>
            <w:r>
              <w:rPr>
                <w:sz w:val="18"/>
              </w:rPr>
              <w:t>08 Juin 2026 (2h00 de Live)</w:t>
            </w:r>
          </w:p>
        </w:tc>
      </w:tr>
      <w:tr>
        <w:tc>
          <w:tcPr>
            <w:tcW w:type="dxa" w:w="4968"/>
          </w:tcPr>
          <w:p>
            <w:r>
              <w:rPr>
                <w:b/>
                <w:color w:val="6D28A6"/>
                <w:sz w:val="18"/>
              </w:rPr>
              <w:t>Thématique Clé</w:t>
            </w:r>
          </w:p>
        </w:tc>
        <w:tc>
          <w:tcPr>
            <w:tcW w:type="dxa" w:w="4968"/>
          </w:tcPr>
          <w:p>
            <w:r>
              <w:rPr>
                <w:sz w:val="18"/>
              </w:rPr>
              <w:t>Méthode de sélection d'un cas d'usage viable, architecture fonctionnelle sur Celestory et structuration des données</w:t>
            </w:r>
          </w:p>
        </w:tc>
      </w:tr>
      <w:tr>
        <w:tc>
          <w:tcPr>
            <w:tcW w:type="dxa" w:w="4968"/>
          </w:tcPr>
          <w:p>
            <w:r>
              <w:rPr>
                <w:b/>
                <w:color w:val="6D28A6"/>
                <w:sz w:val="18"/>
              </w:rPr>
              <w:t>Matière Source</w:t>
            </w:r>
          </w:p>
        </w:tc>
        <w:tc>
          <w:tcPr>
            <w:tcW w:type="dxa" w:w="4968"/>
          </w:tcPr>
          <w:p>
            <w:r>
              <w:rPr>
                <w:sz w:val="18"/>
              </w:rPr>
              <w:t>Transcription intégrale mot-à-mot du direct Zoom &amp; échanges réels du chat</w:t>
            </w:r>
          </w:p>
        </w:tc>
      </w:tr>
    </w:tbl>
    <w:p>
      <w:pPr>
        <w:spacing w:after="240"/>
      </w:pPr>
    </w:p>
    <w:p>
      <w:pPr>
        <w:pStyle w:val="Heading1"/>
      </w:pPr>
      <w:r>
        <w:rPr>
          <w:color w:val="6D28A6"/>
          <w:sz w:val="28"/>
        </w:rPr>
        <w:t>1. Cadrage Pédagogique &amp; Pourquoi cette Séance est Déterminante</w:t>
      </w:r>
    </w:p>
    <w:p>
      <w:pPr>
        <w:spacing w:after="200"/>
      </w:pPr>
      <w:r>
        <w:t>Cette première session technique plonge immédiatement les apprenants dans le vif de la matière : comment passer d'une idée vague à un cahier des charges fonctionnel prêt pour le développement No-Code. Milène et Alain démontrent qu'une application IA performante n'est jamais le fruit du hasard, mais d'une décomposition chirurgicale des besoins utilisateurs et des flux d'information.</w:t>
      </w:r>
    </w:p>
    <w:p>
      <w:pPr>
        <w:pStyle w:val="Heading1"/>
      </w:pPr>
      <w:r>
        <w:rPr>
          <w:color w:val="6D28A6"/>
          <w:sz w:val="28"/>
        </w:rPr>
        <w:t>2. Grand Décryptage Théorique &amp; Concepts Fondamentaux</w:t>
      </w:r>
    </w:p>
    <w:p>
      <w:pPr>
        <w:pStyle w:val="Heading2"/>
      </w:pPr>
      <w:r>
        <w:rPr>
          <w:color w:val="D6398F"/>
          <w:sz w:val="23"/>
        </w:rPr>
        <w:t>2.1. La grille d'évaluation d'un cas d'usage par le jury de certification</w:t>
      </w:r>
    </w:p>
    <w:p>
      <w:pPr>
        <w:spacing w:after="80"/>
      </w:pPr>
      <w:r>
        <w:t>Le jury officiel n'attend pas une application 'gadget' mais une solution répondant à 4 critères rigoureux :</w:t>
        <w:br/>
        <w:t>1. Pertinence du besoin métier : le projet doit résoudre un irritant ou une inefficacité opérationnelle avérée dans un secteur professionnel identifié.</w:t>
        <w:br/>
        <w:t>2. Clarté de la chaîne de valeur No-Code : justification du choix des outils retenus (pourquoi Celestory pour l'interaction ? pourquoi une base relationnelle ? pourquoi tel modèle de langage ?).</w:t>
        <w:br/>
        <w:t>3. Gestion de la dynamicité des données : l'application doit être capable de recevoir des saisies utilisateurs, de les stocker, de les modifier et de renvoyer un calcul ou une recommandation personnalisée.</w:t>
        <w:br/>
        <w:t>4. Rigueur du journal de bord : traçabilité des versions, des erreurs surmontées et des arbitrages de conception.</w:t>
      </w:r>
    </w:p>
    <w:p>
      <w:pPr>
        <w:pStyle w:val="Heading2"/>
      </w:pPr>
      <w:r>
        <w:rPr>
          <w:color w:val="D6398F"/>
          <w:sz w:val="23"/>
        </w:rPr>
        <w:t>2.2. Architecture en graphe vs programmation linéaire : L'approche Celestory</w:t>
      </w:r>
    </w:p>
    <w:p>
      <w:pPr>
        <w:spacing w:after="80"/>
      </w:pPr>
      <w:r>
        <w:t>Milène introduit la logique de conception nodale de Celestory :</w:t>
        <w:br/>
        <w:t>- Contrairement à un formulaire linéaire classique (Typeform, Google Forms), une application moderne est un graphe d'états où chaque réponse de l'utilisateur influence dynamiquement la suite du parcours.</w:t>
        <w:br/>
        <w:t>- Notion de variables d'état : isoler ce qui appartient au profil de l'utilisateur (nom, score, préférences) de ce qui appartient à la logique système (règles de transition, calculs de score).</w:t>
      </w:r>
    </w:p>
    <w:p>
      <w:pPr>
        <w:pStyle w:val="Heading2"/>
      </w:pPr>
      <w:r>
        <w:rPr>
          <w:color w:val="D6398F"/>
          <w:sz w:val="23"/>
        </w:rPr>
        <w:t>2.3. La frontière entre données statiques et données dynamiques</w:t>
      </w:r>
    </w:p>
    <w:p>
      <w:pPr>
        <w:spacing w:after="80"/>
      </w:pPr>
      <w:r>
        <w:t>Alain insiste sur un principe d'ingénierie fondamental :</w:t>
        <w:br/>
        <w:t>- Les données statiques (textes explicatifs, images de fond, labels de boutons) sont intégrées directement dans les blocs visuels de l'interface.</w:t>
        <w:br/>
        <w:t>- Les données dynamiques (historique des interactions, données calculées par l'IA, informations d'identification) doivent obligatoirement être externalisées dans une base de données structurée pour pouvoir être auditées et réutilisées.</w:t>
      </w:r>
    </w:p>
    <w:p>
      <w:pPr>
        <w:spacing w:after="120"/>
      </w:pPr>
    </w:p>
    <w:p>
      <w:pPr>
        <w:pStyle w:val="Heading1"/>
      </w:pPr>
      <w:r>
        <w:rPr>
          <w:color w:val="6D28A6"/>
          <w:sz w:val="28"/>
        </w:rPr>
        <w:t>3. Cas Pratiques &amp; Méthodologie Appliquée</w:t>
      </w:r>
    </w:p>
    <w:p>
      <w:r>
        <w:rPr>
          <w:b/>
          <w:color w:val="4E1D82"/>
          <w:sz w:val="21"/>
        </w:rPr>
        <w:t>Cas pratique 1 — Autopsie du projet d'Alain comme cas d'école professionnel</w:t>
      </w:r>
    </w:p>
    <w:p>
      <w:pPr>
        <w:spacing w:after="80"/>
      </w:pPr>
      <w:r>
        <w:t>Présentation pas-à-pas de l'application développée par Alain : analyse du persona cible, cartographie des flux d'écrans, démonstration de la capture des réponses et déclenchement d'un diagnostic personnalisé. Ce cas concret sert de modèle de référence pour les livrables attendus de la promotion.</w:t>
      </w:r>
    </w:p>
    <w:p>
      <w:r>
        <w:rPr>
          <w:b/>
          <w:color w:val="4E1D82"/>
          <w:sz w:val="21"/>
        </w:rPr>
        <w:t>Cas pratique 2 — Création de son premier graphe conditionnel sur Celestory</w:t>
      </w:r>
    </w:p>
    <w:p>
      <w:pPr>
        <w:spacing w:after="80"/>
      </w:pPr>
      <w:r>
        <w:t>Atelier guidé de prise en main : création d'un projet, positionnement des blocs de départ, liaison de nœuds décisionnels conditionnés par un choix utilisateur (IF / ELSE), et prévisualisation instantanée sur simulateur web et mobile.</w:t>
      </w:r>
    </w:p>
    <w:p>
      <w:r>
        <w:rPr>
          <w:b/>
          <w:color w:val="4E1D82"/>
          <w:sz w:val="21"/>
        </w:rPr>
        <w:t>Cas pratique 3 — Ébauche de la table de données initiale</w:t>
      </w:r>
    </w:p>
    <w:p>
      <w:pPr>
        <w:spacing w:after="80"/>
      </w:pPr>
      <w:r>
        <w:t>Identification sur papier ou tableur des 5 attributs indispensables à collecter pour chaque utilisateur afin de préparer l'interconnexion avec les bases de données relationnelles.</w:t>
      </w:r>
    </w:p>
    <w:p>
      <w:pPr>
        <w:spacing w:after="120"/>
      </w:pPr>
    </w:p>
    <w:p>
      <w:pPr>
        <w:pStyle w:val="Heading1"/>
      </w:pPr>
      <w:r>
        <w:rPr>
          <w:color w:val="6D28A6"/>
          <w:sz w:val="28"/>
        </w:rPr>
        <w:t>4. Outils &amp; Technologies Clés Manipulés</w:t>
      </w:r>
    </w:p>
    <w:p>
      <w:r>
        <w:rPr>
          <w:b/>
          <w:color w:val="1A1435"/>
          <w:sz w:val="20"/>
        </w:rPr>
        <w:t>Celestory Studio • Google Sheets (Maquette de données) • Miro / Whimsical (Graphes fonctionnels) • Digiforma</w:t>
      </w:r>
    </w:p>
    <w:p>
      <w:pPr>
        <w:spacing w:after="120"/>
      </w:pPr>
    </w:p>
    <w:p>
      <w:pPr>
        <w:pStyle w:val="Heading1"/>
      </w:pPr>
      <w:r>
        <w:rPr>
          <w:color w:val="6D28A6"/>
          <w:sz w:val="28"/>
        </w:rPr>
        <w:t>5. Pépites, Définitions &amp; Liens Partagés dans le Chat Zoom</w:t>
      </w:r>
    </w:p>
    <w:tbl>
      <w:tblPr>
        <w:tblW w:type="auto" w:w="0"/>
        <w:jc w:val="center"/>
        <w:tblLook w:firstColumn="1" w:firstRow="1" w:lastColumn="0" w:lastRow="0" w:noHBand="0" w:noVBand="1" w:val="04A0"/>
      </w:tblPr>
      <w:tblGrid>
        <w:gridCol w:w="3312"/>
        <w:gridCol w:w="3312"/>
        <w:gridCol w:w="3312"/>
      </w:tblGrid>
      <w:tr>
        <w:tc>
          <w:tcPr>
            <w:tcW w:type="dxa" w:w="3312"/>
          </w:tcPr>
          <w:p>
            <w:r>
              <w:rPr>
                <w:b/>
                <w:color w:val="6D28A6"/>
                <w:sz w:val="18"/>
              </w:rPr>
              <w:t>Horodatage</w:t>
            </w:r>
          </w:p>
        </w:tc>
        <w:tc>
          <w:tcPr>
            <w:tcW w:type="dxa" w:w="3312"/>
          </w:tcPr>
          <w:p>
            <w:r>
              <w:rPr>
                <w:b/>
                <w:color w:val="6D28A6"/>
                <w:sz w:val="18"/>
              </w:rPr>
              <w:t>Intervenant</w:t>
            </w:r>
          </w:p>
        </w:tc>
        <w:tc>
          <w:tcPr>
            <w:tcW w:type="dxa" w:w="3312"/>
          </w:tcPr>
          <w:p>
            <w:r>
              <w:rPr>
                <w:b/>
                <w:color w:val="6D28A6"/>
                <w:sz w:val="18"/>
              </w:rPr>
              <w:t>Message &amp; Ressource</w:t>
            </w:r>
          </w:p>
        </w:tc>
      </w:tr>
      <w:tr>
        <w:tc>
          <w:tcPr>
            <w:tcW w:type="dxa" w:w="3312"/>
          </w:tcPr>
          <w:p>
            <w:r>
              <w:rPr>
                <w:sz w:val="17"/>
              </w:rPr>
              <w:t>00:28:10</w:t>
            </w:r>
          </w:p>
        </w:tc>
        <w:tc>
          <w:tcPr>
            <w:tcW w:type="dxa" w:w="3312"/>
          </w:tcPr>
          <w:p>
            <w:r>
              <w:rPr>
                <w:b/>
                <w:sz w:val="17"/>
              </w:rPr>
              <w:t>Milène</w:t>
            </w:r>
          </w:p>
        </w:tc>
        <w:tc>
          <w:tcPr>
            <w:tcW w:type="dxa" w:w="3312"/>
          </w:tcPr>
          <w:p>
            <w:r>
              <w:rPr>
                <w:sz w:val="17"/>
              </w:rPr>
              <w:t>Bien vérifier que votre cas pratique est directement ancré dans un contexte métier concret.</w:t>
            </w:r>
          </w:p>
        </w:tc>
      </w:tr>
      <w:tr>
        <w:tc>
          <w:tcPr>
            <w:tcW w:type="dxa" w:w="3312"/>
          </w:tcPr>
          <w:p>
            <w:r>
              <w:rPr>
                <w:sz w:val="17"/>
              </w:rPr>
              <w:t>00:45:12</w:t>
            </w:r>
          </w:p>
        </w:tc>
        <w:tc>
          <w:tcPr>
            <w:tcW w:type="dxa" w:w="3312"/>
          </w:tcPr>
          <w:p>
            <w:r>
              <w:rPr>
                <w:b/>
                <w:sz w:val="17"/>
              </w:rPr>
              <w:t>Alain Valero</w:t>
            </w:r>
          </w:p>
        </w:tc>
        <w:tc>
          <w:tcPr>
            <w:tcW w:type="dxa" w:w="3312"/>
          </w:tcPr>
          <w:p>
            <w:r>
              <w:rPr>
                <w:sz w:val="17"/>
              </w:rPr>
              <w:t>Pensez à isoler dès maintenant les données fixes des données variables dans votre prototype.</w:t>
            </w:r>
          </w:p>
        </w:tc>
      </w:tr>
      <w:tr>
        <w:tc>
          <w:tcPr>
            <w:tcW w:type="dxa" w:w="3312"/>
          </w:tcPr>
          <w:p>
            <w:r>
              <w:rPr>
                <w:sz w:val="17"/>
              </w:rPr>
              <w:t>01:12:45</w:t>
            </w:r>
          </w:p>
        </w:tc>
        <w:tc>
          <w:tcPr>
            <w:tcW w:type="dxa" w:w="3312"/>
          </w:tcPr>
          <w:p>
            <w:r>
              <w:rPr>
                <w:b/>
                <w:sz w:val="17"/>
              </w:rPr>
              <w:t>Milène</w:t>
            </w:r>
          </w:p>
        </w:tc>
        <w:tc>
          <w:tcPr>
            <w:tcW w:type="dxa" w:w="3312"/>
          </w:tcPr>
          <w:p>
            <w:r>
              <w:rPr>
                <w:sz w:val="17"/>
              </w:rPr>
              <w:t>Pensez à faire des captures d'écran de vos premiers blocs pour enrichir votre journal de bord.</w:t>
            </w:r>
          </w:p>
        </w:tc>
      </w:tr>
    </w:tbl>
    <w:p>
      <w:pPr>
        <w:spacing w:after="160"/>
      </w:pPr>
    </w:p>
    <w:p>
      <w:pPr>
        <w:pStyle w:val="Heading1"/>
      </w:pPr>
      <w:r>
        <w:rPr>
          <w:color w:val="6D28A6"/>
          <w:sz w:val="28"/>
        </w:rPr>
        <w:t>6. Checklist d'Action Stagiaire (Livrables pour le Journal de Bord)</w:t>
      </w:r>
    </w:p>
    <w:p>
      <w:pPr>
        <w:pStyle w:val="ListBullet"/>
      </w:pPr>
      <w:r>
        <w:rPr>
          <w:sz w:val="19"/>
        </w:rPr>
        <w:t>Finaliser la rédaction de la fiche de cadrage de son cas d'usage (problème, cible, solution)</w:t>
      </w:r>
    </w:p>
    <w:p>
      <w:pPr>
        <w:pStyle w:val="ListBullet"/>
      </w:pPr>
      <w:r>
        <w:rPr>
          <w:sz w:val="19"/>
        </w:rPr>
        <w:t>Créer et valider son espace projet sur Celestory.io</w:t>
      </w:r>
    </w:p>
    <w:p>
      <w:pPr>
        <w:pStyle w:val="ListBullet"/>
      </w:pPr>
      <w:r>
        <w:rPr>
          <w:sz w:val="19"/>
        </w:rPr>
        <w:t>Dessiner le schéma arborescent complet du parcours utilisateur (minimum 3 embranchements)</w:t>
      </w:r>
    </w:p>
    <w:p>
      <w:pPr>
        <w:pStyle w:val="ListBullet"/>
      </w:pPr>
      <w:r>
        <w:rPr>
          <w:sz w:val="19"/>
        </w:rPr>
        <w:t>Lister les variables indispensables qui seront enregistrées dans la base de données</w:t>
      </w:r>
    </w:p>
    <w:p>
      <w:pPr>
        <w:pStyle w:val="ListBullet"/>
      </w:pPr>
      <w:r>
        <w:rPr>
          <w:sz w:val="19"/>
        </w:rPr>
        <w:t>Consigner les choix de conception effectués dans la section 2 de son Journal de Bord</w:t>
      </w:r>
    </w:p>
    <w:p>
      <w:pPr>
        <w:jc w:val="right"/>
      </w:pPr>
      <w:r>
        <w:rPr>
          <w:i/>
          <w:color w:val="8C88A6"/>
          <w:sz w:val="16"/>
        </w:rPr>
        <w:br/>
        <w:t>Document Pédagogique Officiel — OIDANEOS Live-to-Asset © 2026</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