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98F"/>
          <w:sz w:val="17"/>
        </w:rPr>
        <w:t>FORMATION OIDANEOS — CONCEPTEUR &amp; DÉVELOPPEUR D'APPLICATIONS IA NO-CODE</w:t>
      </w:r>
    </w:p>
    <w:p>
      <w:pPr>
        <w:spacing w:after="40"/>
      </w:pPr>
      <w:r>
        <w:rPr>
          <w:b/>
          <w:color w:val="4E1D82"/>
          <w:sz w:val="40"/>
        </w:rPr>
        <w:t>GUIDE PÉDAGOGIQUE ÉTALON (LIVE-TO-ASSET) — SESSION 11</w:t>
      </w:r>
    </w:p>
    <w:p>
      <w:pPr>
        <w:spacing w:after="240"/>
      </w:pPr>
      <w:r>
        <w:rPr>
          <w:i/>
          <w:color w:val="D6398F"/>
          <w:sz w:val="22"/>
        </w:rPr>
        <w:t>Session 11 : Industrialisation, Scalabilité &amp; Sécurité : Panorama géopolitique de l'IA (modèles chinois DeepSeek/Qwen, 2.8T de paramètres), sécurisation des clés d'API et supervision FinOps</w:t>
      </w:r>
    </w:p>
    <w:tbl>
      <w:tblPr>
        <w:tblW w:type="auto" w:w="0"/>
        <w:jc w:val="center"/>
        <w:tblLook w:firstColumn="1" w:firstRow="1" w:lastColumn="0" w:lastRow="0" w:noHBand="0" w:noVBand="1" w:val="04A0"/>
      </w:tblPr>
      <w:tblGrid>
        <w:gridCol w:w="4968"/>
        <w:gridCol w:w="4968"/>
      </w:tblGrid>
      <w:tr>
        <w:tc>
          <w:tcPr>
            <w:tcW w:type="dxa" w:w="4968"/>
          </w:tcPr>
          <w:p>
            <w:r>
              <w:rPr>
                <w:b/>
                <w:color w:val="6D28A6"/>
                <w:sz w:val="18"/>
              </w:rPr>
              <w:t>Certification Visée</w:t>
            </w:r>
          </w:p>
        </w:tc>
        <w:tc>
          <w:tcPr>
            <w:tcW w:type="dxa" w:w="4968"/>
          </w:tcPr>
          <w:p>
            <w:r>
              <w:rPr>
                <w:sz w:val="18"/>
              </w:rPr>
              <w:t>Concepteur &amp; Développeur d'Applications IA No-Code — OIDANEOS</w:t>
            </w:r>
          </w:p>
        </w:tc>
      </w:tr>
      <w:tr>
        <w:tc>
          <w:tcPr>
            <w:tcW w:type="dxa" w:w="4968"/>
          </w:tcPr>
          <w:p>
            <w:r>
              <w:rPr>
                <w:b/>
                <w:color w:val="6D28A6"/>
                <w:sz w:val="18"/>
              </w:rPr>
              <w:t>Intervenant(s)</w:t>
            </w:r>
          </w:p>
        </w:tc>
        <w:tc>
          <w:tcPr>
            <w:tcW w:type="dxa" w:w="4968"/>
          </w:tcPr>
          <w:p>
            <w:r>
              <w:rPr>
                <w:sz w:val="18"/>
              </w:rPr>
              <w:t>Pierre LACOMBE</w:t>
            </w:r>
          </w:p>
        </w:tc>
      </w:tr>
      <w:tr>
        <w:tc>
          <w:tcPr>
            <w:tcW w:type="dxa" w:w="4968"/>
          </w:tcPr>
          <w:p>
            <w:r>
              <w:rPr>
                <w:b/>
                <w:color w:val="6D28A6"/>
                <w:sz w:val="18"/>
              </w:rPr>
              <w:t>Date &amp; Durée</w:t>
            </w:r>
          </w:p>
        </w:tc>
        <w:tc>
          <w:tcPr>
            <w:tcW w:type="dxa" w:w="4968"/>
          </w:tcPr>
          <w:p>
            <w:r>
              <w:rPr>
                <w:sz w:val="18"/>
              </w:rPr>
              <w:t>17 Août 2026 (2h00 de Live)</w:t>
            </w:r>
          </w:p>
        </w:tc>
      </w:tr>
      <w:tr>
        <w:tc>
          <w:tcPr>
            <w:tcW w:type="dxa" w:w="4968"/>
          </w:tcPr>
          <w:p>
            <w:r>
              <w:rPr>
                <w:b/>
                <w:color w:val="6D28A6"/>
                <w:sz w:val="18"/>
              </w:rPr>
              <w:t>Thématique Clé</w:t>
            </w:r>
          </w:p>
        </w:tc>
        <w:tc>
          <w:tcPr>
            <w:tcW w:type="dxa" w:w="4968"/>
          </w:tcPr>
          <w:p>
            <w:r>
              <w:rPr>
                <w:sz w:val="18"/>
              </w:rPr>
              <w:t>Panorama géopolitique de l'IA (modèles chinois DeepSeek/Qwen, 2.8T de paramètres), sécurisation des clés d'API et supervision FinOps</w:t>
            </w:r>
          </w:p>
        </w:tc>
      </w:tr>
      <w:tr>
        <w:tc>
          <w:tcPr>
            <w:tcW w:type="dxa" w:w="4968"/>
          </w:tcPr>
          <w:p>
            <w:r>
              <w:rPr>
                <w:b/>
                <w:color w:val="6D28A6"/>
                <w:sz w:val="18"/>
              </w:rPr>
              <w:t>Matière Source</w:t>
            </w:r>
          </w:p>
        </w:tc>
        <w:tc>
          <w:tcPr>
            <w:tcW w:type="dxa" w:w="4968"/>
          </w:tcPr>
          <w:p>
            <w:r>
              <w:rPr>
                <w:sz w:val="18"/>
              </w:rPr>
              <w:t>Transcription intégrale mot-à-mot du direct Zoom &amp; échanges réels du chat</w:t>
            </w:r>
          </w:p>
        </w:tc>
      </w:tr>
    </w:tbl>
    <w:p>
      <w:pPr>
        <w:spacing w:after="240"/>
      </w:pPr>
    </w:p>
    <w:p>
      <w:pPr>
        <w:pStyle w:val="Heading1"/>
      </w:pPr>
      <w:r>
        <w:rPr>
          <w:color w:val="6D28A6"/>
          <w:sz w:val="28"/>
        </w:rPr>
        <w:t>1. Cadrage Pédagogique &amp; Pourquoi cette Séance est Déterminante</w:t>
      </w:r>
    </w:p>
    <w:p>
      <w:pPr>
        <w:spacing w:after="200"/>
      </w:pPr>
      <w:r>
        <w:t>Une session de haute volée technique et stratégique. Pierre dresse l'état des lieux de la guerre technologique mondiale entre modèles américains et chinois, et détaille les mesures d'ingénierie indispensables pour passer son prototype en production sécurisée.</w:t>
      </w:r>
    </w:p>
    <w:p>
      <w:pPr>
        <w:pStyle w:val="Heading1"/>
      </w:pPr>
      <w:r>
        <w:rPr>
          <w:color w:val="6D28A6"/>
          <w:sz w:val="28"/>
        </w:rPr>
        <w:t>2. Grand Décryptage Théorique &amp; Concepts Fondamentaux</w:t>
      </w:r>
    </w:p>
    <w:p>
      <w:pPr>
        <w:pStyle w:val="Heading2"/>
      </w:pPr>
      <w:r>
        <w:rPr>
          <w:color w:val="D6398F"/>
          <w:sz w:val="23"/>
        </w:rPr>
        <w:t>2.1. La montée en puissance des modèles chinois : DeepSeek, Qwen et Moonshot</w:t>
      </w:r>
    </w:p>
    <w:p>
      <w:pPr>
        <w:spacing w:after="80"/>
      </w:pPr>
      <w:r>
        <w:t>Pierre décortique la déferlante des architectures ouvertes chinoises :</w:t>
        <w:br/>
        <w:t>- DeepSeek et Qwen (Alibaba) rivalisent directement avec GPT-4o pour un coût de calcul divisé par 5 à 10.</w:t>
        <w:br/>
        <w:t>- L'annonce de modèles colossaux à 2,8 trilliards de paramètres : comment l'optimisation mathématique (Mixture of Experts - MoE) permet d'activer uniquement une fraction des neurones par token pour préserver l'efficience énergétique.</w:t>
      </w:r>
    </w:p>
    <w:p>
      <w:pPr>
        <w:pStyle w:val="Heading2"/>
      </w:pPr>
      <w:r>
        <w:rPr>
          <w:color w:val="D6398F"/>
          <w:sz w:val="23"/>
        </w:rPr>
        <w:t>2.2. Sécurité absolue des clés d'API et variables d'environnement</w:t>
      </w:r>
    </w:p>
    <w:p>
      <w:pPr>
        <w:spacing w:after="80"/>
      </w:pPr>
      <w:r>
        <w:t>Règle d'or absolue pour la certification :</w:t>
        <w:br/>
        <w:t>- Ne jamais insérer une clé d'API (sk-...) dans du code HTML ou JavaScript visible dans le navigateur : des bots automatisés scannent le web en continu et vident votre solde en moins de 10 minutes.</w:t>
        <w:br/>
        <w:t>- Utiliser un backend intermédiaire (Edge Function, Supabase, Vercel Serverless) ou des proxies sécurisés pour masquer vos secrets d'infrastructure.</w:t>
      </w:r>
    </w:p>
    <w:p>
      <w:pPr>
        <w:spacing w:after="120"/>
      </w:pPr>
    </w:p>
    <w:p>
      <w:pPr>
        <w:pStyle w:val="Heading1"/>
      </w:pPr>
      <w:r>
        <w:rPr>
          <w:color w:val="6D28A6"/>
          <w:sz w:val="28"/>
        </w:rPr>
        <w:t>3. Cas Pratiques &amp; Méthodologie Appliquée</w:t>
      </w:r>
    </w:p>
    <w:p>
      <w:r>
        <w:rPr>
          <w:b/>
          <w:color w:val="4E1D82"/>
          <w:sz w:val="21"/>
        </w:rPr>
        <w:t>Cas pratique 1 — Audit de vulnérabilité d'un prototype</w:t>
      </w:r>
    </w:p>
    <w:p>
      <w:pPr>
        <w:spacing w:after="80"/>
      </w:pPr>
      <w:r>
        <w:t>Inspection pas-à-pas des requêtes réseau dans la console développeur du navigateur pour s'assurer qu'aucune clé privée ne fuite côté client.</w:t>
      </w:r>
    </w:p>
    <w:p>
      <w:pPr>
        <w:spacing w:after="120"/>
      </w:pPr>
    </w:p>
    <w:p>
      <w:pPr>
        <w:pStyle w:val="Heading1"/>
      </w:pPr>
      <w:r>
        <w:rPr>
          <w:color w:val="6D28A6"/>
          <w:sz w:val="28"/>
        </w:rPr>
        <w:t>4. Outils &amp; Technologies Clés Manipulés</w:t>
      </w:r>
    </w:p>
    <w:p>
      <w:r>
        <w:rPr>
          <w:b/>
          <w:color w:val="1A1435"/>
          <w:sz w:val="20"/>
        </w:rPr>
        <w:t>DeepSeek API • Qwen (Hugging Face) • Supabase / Vercel Edge Functions • OpenAI Usage Controls</w:t>
      </w:r>
    </w:p>
    <w:p>
      <w:pPr>
        <w:spacing w:after="120"/>
      </w:pPr>
    </w:p>
    <w:p>
      <w:pPr>
        <w:pStyle w:val="Heading1"/>
      </w:pPr>
      <w:r>
        <w:rPr>
          <w:color w:val="6D28A6"/>
          <w:sz w:val="28"/>
        </w:rPr>
        <w:t>5. Pépites, Définitions &amp; Liens Partagés dans le Chat Zoom</w:t>
      </w:r>
    </w:p>
    <w:tbl>
      <w:tblPr>
        <w:tblW w:type="auto" w:w="0"/>
        <w:jc w:val="center"/>
        <w:tblLook w:firstColumn="1" w:firstRow="1" w:lastColumn="0" w:lastRow="0" w:noHBand="0" w:noVBand="1" w:val="04A0"/>
      </w:tblPr>
      <w:tblGrid>
        <w:gridCol w:w="3312"/>
        <w:gridCol w:w="3312"/>
        <w:gridCol w:w="3312"/>
      </w:tblGrid>
      <w:tr>
        <w:tc>
          <w:tcPr>
            <w:tcW w:type="dxa" w:w="3312"/>
          </w:tcPr>
          <w:p>
            <w:r>
              <w:rPr>
                <w:b/>
                <w:color w:val="6D28A6"/>
                <w:sz w:val="18"/>
              </w:rPr>
              <w:t>Horodatage</w:t>
            </w:r>
          </w:p>
        </w:tc>
        <w:tc>
          <w:tcPr>
            <w:tcW w:type="dxa" w:w="3312"/>
          </w:tcPr>
          <w:p>
            <w:r>
              <w:rPr>
                <w:b/>
                <w:color w:val="6D28A6"/>
                <w:sz w:val="18"/>
              </w:rPr>
              <w:t>Intervenant</w:t>
            </w:r>
          </w:p>
        </w:tc>
        <w:tc>
          <w:tcPr>
            <w:tcW w:type="dxa" w:w="3312"/>
          </w:tcPr>
          <w:p>
            <w:r>
              <w:rPr>
                <w:b/>
                <w:color w:val="6D28A6"/>
                <w:sz w:val="18"/>
              </w:rPr>
              <w:t>Message &amp; Ressource</w:t>
            </w:r>
          </w:p>
        </w:tc>
      </w:tr>
      <w:tr>
        <w:tc>
          <w:tcPr>
            <w:tcW w:type="dxa" w:w="3312"/>
          </w:tcPr>
          <w:p>
            <w:r>
              <w:rPr>
                <w:sz w:val="17"/>
              </w:rPr>
              <w:t>00:50:46</w:t>
            </w:r>
          </w:p>
        </w:tc>
        <w:tc>
          <w:tcPr>
            <w:tcW w:type="dxa" w:w="3312"/>
          </w:tcPr>
          <w:p>
            <w:r>
              <w:rPr>
                <w:b/>
                <w:sz w:val="17"/>
              </w:rPr>
              <w:t>Alain Valero</w:t>
            </w:r>
          </w:p>
        </w:tc>
        <w:tc>
          <w:tcPr>
            <w:tcW w:type="dxa" w:w="3312"/>
          </w:tcPr>
          <w:p>
            <w:r>
              <w:rPr>
                <w:sz w:val="17"/>
              </w:rPr>
              <w:t>J'arrive café !</w:t>
            </w:r>
          </w:p>
        </w:tc>
      </w:tr>
      <w:tr>
        <w:tc>
          <w:tcPr>
            <w:tcW w:type="dxa" w:w="3312"/>
          </w:tcPr>
          <w:p>
            <w:r>
              <w:rPr>
                <w:sz w:val="17"/>
              </w:rPr>
              <w:t>01:05:00</w:t>
            </w:r>
          </w:p>
        </w:tc>
        <w:tc>
          <w:tcPr>
            <w:tcW w:type="dxa" w:w="3312"/>
          </w:tcPr>
          <w:p>
            <w:r>
              <w:rPr>
                <w:b/>
                <w:sz w:val="17"/>
              </w:rPr>
              <w:t>Pierre Lacombe</w:t>
            </w:r>
          </w:p>
        </w:tc>
        <w:tc>
          <w:tcPr>
            <w:tcW w:type="dxa" w:w="3312"/>
          </w:tcPr>
          <w:p>
            <w:r>
              <w:rPr>
                <w:sz w:val="17"/>
              </w:rPr>
              <w:t>Une clé API exposée dans le front-end est compromise en moins de 10 minutes par les crawlers du web.</w:t>
            </w:r>
          </w:p>
        </w:tc>
      </w:tr>
    </w:tbl>
    <w:p>
      <w:pPr>
        <w:spacing w:after="160"/>
      </w:pPr>
    </w:p>
    <w:p>
      <w:pPr>
        <w:pStyle w:val="Heading1"/>
      </w:pPr>
      <w:r>
        <w:rPr>
          <w:color w:val="6D28A6"/>
          <w:sz w:val="28"/>
        </w:rPr>
        <w:t>6. Checklist d'Action Stagiaire (Livrables pour le Journal de Bord)</w:t>
      </w:r>
    </w:p>
    <w:p>
      <w:pPr>
        <w:pStyle w:val="ListBullet"/>
      </w:pPr>
      <w:r>
        <w:rPr>
          <w:sz w:val="19"/>
        </w:rPr>
        <w:t>Auditer l'ensemble de ses prototypes pour éliminer toute clé API en clair</w:t>
      </w:r>
    </w:p>
    <w:p>
      <w:pPr>
        <w:pStyle w:val="ListBullet"/>
      </w:pPr>
      <w:r>
        <w:rPr>
          <w:sz w:val="19"/>
        </w:rPr>
        <w:t>Mettre en place un plafond budgétaire mensuel strict sur chaque console d'API</w:t>
      </w:r>
    </w:p>
    <w:p>
      <w:pPr>
        <w:pStyle w:val="ListBullet"/>
      </w:pPr>
      <w:r>
        <w:rPr>
          <w:sz w:val="19"/>
        </w:rPr>
        <w:t>Tester l'intégration d'un modèle open source économique pour les tâches simples</w:t>
      </w:r>
    </w:p>
    <w:p>
      <w:pPr>
        <w:jc w:val="right"/>
      </w:pPr>
      <w:r>
        <w:rPr>
          <w:i/>
          <w:color w:val="8C88A6"/>
          <w:sz w:val="16"/>
        </w:rPr>
        <w:br/>
        <w:t>Document Pédagogique Officiel — OIDANEOS Live-to-Asset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