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D6398F"/>
          <w:sz w:val="17"/>
        </w:rPr>
        <w:t>FORMATION OIDANEOS — CONCEPTEUR &amp; DÉVELOPPEUR D'APPLICATIONS IA NO-CODE</w:t>
      </w:r>
    </w:p>
    <w:p>
      <w:pPr>
        <w:spacing w:after="40"/>
      </w:pPr>
      <w:r>
        <w:rPr>
          <w:b/>
          <w:color w:val="4E1D82"/>
          <w:sz w:val="40"/>
        </w:rPr>
        <w:t>GUIDE PÉDAGOGIQUE ÉTALON (LIVE-TO-ASSET) — SESSION 12</w:t>
      </w:r>
    </w:p>
    <w:p>
      <w:pPr>
        <w:spacing w:after="240"/>
      </w:pPr>
      <w:r>
        <w:rPr>
          <w:i/>
          <w:color w:val="D6398F"/>
          <w:sz w:val="22"/>
        </w:rPr>
        <w:t>Session 12 : Revue des Livrables &amp; Débogage Live : Atelier pratique de revues collectives, prototypage instantané du design vs de l'application, et préparation de la soutenance</w:t>
      </w:r>
    </w:p>
    <w:tbl>
      <w:tblPr>
        <w:tblW w:type="auto" w:w="0"/>
        <w:jc w:val="center"/>
        <w:tblLook w:firstColumn="1" w:firstRow="1" w:lastColumn="0" w:lastRow="0" w:noHBand="0" w:noVBand="1" w:val="04A0"/>
      </w:tblPr>
      <w:tblGrid>
        <w:gridCol w:w="4968"/>
        <w:gridCol w:w="4968"/>
      </w:tblGrid>
      <w:tr>
        <w:tc>
          <w:tcPr>
            <w:tcW w:type="dxa" w:w="4968"/>
          </w:tcPr>
          <w:p>
            <w:r>
              <w:rPr>
                <w:b/>
                <w:color w:val="6D28A6"/>
                <w:sz w:val="18"/>
              </w:rPr>
              <w:t>Certification Visée</w:t>
            </w:r>
          </w:p>
        </w:tc>
        <w:tc>
          <w:tcPr>
            <w:tcW w:type="dxa" w:w="4968"/>
          </w:tcPr>
          <w:p>
            <w:r>
              <w:rPr>
                <w:sz w:val="18"/>
              </w:rPr>
              <w:t>Concepteur &amp; Développeur d'Applications IA No-Code — OIDANEOS</w:t>
            </w:r>
          </w:p>
        </w:tc>
      </w:tr>
      <w:tr>
        <w:tc>
          <w:tcPr>
            <w:tcW w:type="dxa" w:w="4968"/>
          </w:tcPr>
          <w:p>
            <w:r>
              <w:rPr>
                <w:b/>
                <w:color w:val="6D28A6"/>
                <w:sz w:val="18"/>
              </w:rPr>
              <w:t>Intervenant(s)</w:t>
            </w:r>
          </w:p>
        </w:tc>
        <w:tc>
          <w:tcPr>
            <w:tcW w:type="dxa" w:w="4968"/>
          </w:tcPr>
          <w:p>
            <w:r>
              <w:rPr>
                <w:sz w:val="18"/>
              </w:rPr>
              <w:t>Pierre LACOMBE &amp; Milène PAUL</w:t>
            </w:r>
          </w:p>
        </w:tc>
      </w:tr>
      <w:tr>
        <w:tc>
          <w:tcPr>
            <w:tcW w:type="dxa" w:w="4968"/>
          </w:tcPr>
          <w:p>
            <w:r>
              <w:rPr>
                <w:b/>
                <w:color w:val="6D28A6"/>
                <w:sz w:val="18"/>
              </w:rPr>
              <w:t>Date &amp; Durée</w:t>
            </w:r>
          </w:p>
        </w:tc>
        <w:tc>
          <w:tcPr>
            <w:tcW w:type="dxa" w:w="4968"/>
          </w:tcPr>
          <w:p>
            <w:r>
              <w:rPr>
                <w:sz w:val="18"/>
              </w:rPr>
              <w:t>24 Août 2026 (2h00 de Live)</w:t>
            </w:r>
          </w:p>
        </w:tc>
      </w:tr>
      <w:tr>
        <w:tc>
          <w:tcPr>
            <w:tcW w:type="dxa" w:w="4968"/>
          </w:tcPr>
          <w:p>
            <w:r>
              <w:rPr>
                <w:b/>
                <w:color w:val="6D28A6"/>
                <w:sz w:val="18"/>
              </w:rPr>
              <w:t>Thématique Clé</w:t>
            </w:r>
          </w:p>
        </w:tc>
        <w:tc>
          <w:tcPr>
            <w:tcW w:type="dxa" w:w="4968"/>
          </w:tcPr>
          <w:p>
            <w:r>
              <w:rPr>
                <w:sz w:val="18"/>
              </w:rPr>
              <w:t>Atelier pratique de revues collectives, prototypage instantané du design vs de l'application, et préparation de la soutenance</w:t>
            </w:r>
          </w:p>
        </w:tc>
      </w:tr>
      <w:tr>
        <w:tc>
          <w:tcPr>
            <w:tcW w:type="dxa" w:w="4968"/>
          </w:tcPr>
          <w:p>
            <w:r>
              <w:rPr>
                <w:b/>
                <w:color w:val="6D28A6"/>
                <w:sz w:val="18"/>
              </w:rPr>
              <w:t>Matière Source</w:t>
            </w:r>
          </w:p>
        </w:tc>
        <w:tc>
          <w:tcPr>
            <w:tcW w:type="dxa" w:w="4968"/>
          </w:tcPr>
          <w:p>
            <w:r>
              <w:rPr>
                <w:sz w:val="18"/>
              </w:rPr>
              <w:t>Transcription intégrale mot-à-mot du direct Zoom &amp; échanges réels du chat</w:t>
            </w:r>
          </w:p>
        </w:tc>
      </w:tr>
    </w:tbl>
    <w:p>
      <w:pPr>
        <w:spacing w:after="240"/>
      </w:pPr>
    </w:p>
    <w:p>
      <w:pPr>
        <w:pStyle w:val="Heading1"/>
      </w:pPr>
      <w:r>
        <w:rPr>
          <w:color w:val="6D28A6"/>
          <w:sz w:val="28"/>
        </w:rPr>
        <w:t>1. Cadrage Pédagogique &amp; Pourquoi cette Séance est Déterminante</w:t>
      </w:r>
    </w:p>
    <w:p>
      <w:pPr>
        <w:spacing w:after="200"/>
      </w:pPr>
      <w:r>
        <w:t>Dernière ligne droite avant les soutenances officielles. Pierre et Milène organisent un atelier intensif de revue de code et de prototypes en direct avec Diane, Anthony, Alain et Erwan pour gommer les dernières frictions d'expérience utilisateur.</w:t>
      </w:r>
    </w:p>
    <w:p>
      <w:pPr>
        <w:pStyle w:val="Heading1"/>
      </w:pPr>
      <w:r>
        <w:rPr>
          <w:color w:val="6D28A6"/>
          <w:sz w:val="28"/>
        </w:rPr>
        <w:t>2. Grand Décryptage Théorique &amp; Concepts Fondamentaux</w:t>
      </w:r>
    </w:p>
    <w:p>
      <w:pPr>
        <w:pStyle w:val="Heading2"/>
      </w:pPr>
      <w:r>
        <w:rPr>
          <w:color w:val="D6398F"/>
          <w:sz w:val="23"/>
        </w:rPr>
        <w:t>2.1. Prototype de Design vs Prototype Applicatif : La distinction cruciale</w:t>
      </w:r>
    </w:p>
    <w:p>
      <w:pPr>
        <w:spacing w:after="80"/>
      </w:pPr>
      <w:r>
        <w:t>Pierre alerte sur une confusion fréquente :</w:t>
        <w:br/>
        <w:t>- Un prototype de design (Figma, v0.dev, mockups statiques) valide les couleurs, les dispositions et le flux visuel.</w:t>
        <w:br/>
        <w:t>- Un prototype applicatif valide la robustesse de la logique : la donnée est-elle bien enregistrée dans Baserow ? Le webhook a-t-il bien renvoyé la réponse ? L'application gère-t-elle la perte de connexion ? Le jury certifie un prototype applicatif fonctionnel, pas un simple dessin d'écran.</w:t>
      </w:r>
    </w:p>
    <w:p>
      <w:pPr>
        <w:pStyle w:val="Heading2"/>
      </w:pPr>
      <w:r>
        <w:rPr>
          <w:color w:val="D6398F"/>
          <w:sz w:val="23"/>
        </w:rPr>
        <w:t>2.2. La grille d'évaluation officielle du certificateur</w:t>
      </w:r>
    </w:p>
    <w:p>
      <w:pPr>
        <w:spacing w:after="80"/>
      </w:pPr>
      <w:r>
        <w:t>Milène passe en revue les critères éliminatoires de l'examen : la capacité à justifier ses choix techniques, l'exhaustivité du Journal de Bord et la démonstration en direct d'un cas d'usage complet sans crash.</w:t>
      </w:r>
    </w:p>
    <w:p>
      <w:pPr>
        <w:spacing w:after="120"/>
      </w:pPr>
    </w:p>
    <w:p>
      <w:pPr>
        <w:pStyle w:val="Heading1"/>
      </w:pPr>
      <w:r>
        <w:rPr>
          <w:color w:val="6D28A6"/>
          <w:sz w:val="28"/>
        </w:rPr>
        <w:t>3. Cas Pratiques &amp; Méthodologie Appliquée</w:t>
      </w:r>
    </w:p>
    <w:p>
      <w:r>
        <w:rPr>
          <w:b/>
          <w:color w:val="4E1D82"/>
          <w:sz w:val="21"/>
        </w:rPr>
        <w:t>Cas pratique 1 — Débogage live sur les projets de Diane et d'Anthony</w:t>
      </w:r>
    </w:p>
    <w:p>
      <w:pPr>
        <w:spacing w:after="80"/>
      </w:pPr>
      <w:r>
        <w:t>Résolution collective d'un problème de rafraîchissement d'interface et optimisation des temps de latence sur les requêtes d'IA.</w:t>
      </w:r>
    </w:p>
    <w:p>
      <w:pPr>
        <w:spacing w:after="120"/>
      </w:pPr>
    </w:p>
    <w:p>
      <w:pPr>
        <w:pStyle w:val="Heading1"/>
      </w:pPr>
      <w:r>
        <w:rPr>
          <w:color w:val="6D28A6"/>
          <w:sz w:val="28"/>
        </w:rPr>
        <w:t>4. Outils &amp; Technologies Clés Manipulés</w:t>
      </w:r>
    </w:p>
    <w:p>
      <w:r>
        <w:rPr>
          <w:b/>
          <w:color w:val="1A1435"/>
          <w:sz w:val="20"/>
        </w:rPr>
        <w:t>Inspecteur Navigateur • Baserow • Celestory • Notion Journal de Bord</w:t>
      </w:r>
    </w:p>
    <w:p>
      <w:pPr>
        <w:spacing w:after="120"/>
      </w:pPr>
    </w:p>
    <w:p>
      <w:pPr>
        <w:pStyle w:val="Heading1"/>
      </w:pPr>
      <w:r>
        <w:rPr>
          <w:color w:val="6D28A6"/>
          <w:sz w:val="28"/>
        </w:rPr>
        <w:t>5. Pépites, Définitions &amp; Liens Partagés dans le Chat Zoom</w:t>
      </w:r>
    </w:p>
    <w:tbl>
      <w:tblPr>
        <w:tblW w:type="auto" w:w="0"/>
        <w:jc w:val="center"/>
        <w:tblLook w:firstColumn="1" w:firstRow="1" w:lastColumn="0" w:lastRow="0" w:noHBand="0" w:noVBand="1" w:val="04A0"/>
      </w:tblPr>
      <w:tblGrid>
        <w:gridCol w:w="3312"/>
        <w:gridCol w:w="3312"/>
        <w:gridCol w:w="3312"/>
      </w:tblGrid>
      <w:tr>
        <w:tc>
          <w:tcPr>
            <w:tcW w:type="dxa" w:w="3312"/>
          </w:tcPr>
          <w:p>
            <w:r>
              <w:rPr>
                <w:b/>
                <w:color w:val="6D28A6"/>
                <w:sz w:val="18"/>
              </w:rPr>
              <w:t>Horodatage</w:t>
            </w:r>
          </w:p>
        </w:tc>
        <w:tc>
          <w:tcPr>
            <w:tcW w:type="dxa" w:w="3312"/>
          </w:tcPr>
          <w:p>
            <w:r>
              <w:rPr>
                <w:b/>
                <w:color w:val="6D28A6"/>
                <w:sz w:val="18"/>
              </w:rPr>
              <w:t>Intervenant</w:t>
            </w:r>
          </w:p>
        </w:tc>
        <w:tc>
          <w:tcPr>
            <w:tcW w:type="dxa" w:w="3312"/>
          </w:tcPr>
          <w:p>
            <w:r>
              <w:rPr>
                <w:b/>
                <w:color w:val="6D28A6"/>
                <w:sz w:val="18"/>
              </w:rPr>
              <w:t>Message &amp; Ressource</w:t>
            </w:r>
          </w:p>
        </w:tc>
      </w:tr>
      <w:tr>
        <w:tc>
          <w:tcPr>
            <w:tcW w:type="dxa" w:w="3312"/>
          </w:tcPr>
          <w:p>
            <w:r>
              <w:rPr>
                <w:sz w:val="17"/>
              </w:rPr>
              <w:t>00:25:01</w:t>
            </w:r>
          </w:p>
        </w:tc>
        <w:tc>
          <w:tcPr>
            <w:tcW w:type="dxa" w:w="3312"/>
          </w:tcPr>
          <w:p>
            <w:r>
              <w:rPr>
                <w:b/>
                <w:sz w:val="17"/>
              </w:rPr>
              <w:t>Alain Valero</w:t>
            </w:r>
          </w:p>
        </w:tc>
        <w:tc>
          <w:tcPr>
            <w:tcW w:type="dxa" w:w="3312"/>
          </w:tcPr>
          <w:p>
            <w:r>
              <w:rPr>
                <w:sz w:val="17"/>
              </w:rPr>
              <w:t>Hello tout le monde, dernière ligne droite avant les soutenances !</w:t>
            </w:r>
          </w:p>
        </w:tc>
      </w:tr>
      <w:tr>
        <w:tc>
          <w:tcPr>
            <w:tcW w:type="dxa" w:w="3312"/>
          </w:tcPr>
          <w:p>
            <w:r>
              <w:rPr>
                <w:sz w:val="17"/>
              </w:rPr>
              <w:t>00:48:30</w:t>
            </w:r>
          </w:p>
        </w:tc>
        <w:tc>
          <w:tcPr>
            <w:tcW w:type="dxa" w:w="3312"/>
          </w:tcPr>
          <w:p>
            <w:r>
              <w:rPr>
                <w:b/>
                <w:sz w:val="17"/>
              </w:rPr>
              <w:t>Pierre Lacombe</w:t>
            </w:r>
          </w:p>
        </w:tc>
        <w:tc>
          <w:tcPr>
            <w:tcW w:type="dxa" w:w="3312"/>
          </w:tcPr>
          <w:p>
            <w:r>
              <w:rPr>
                <w:sz w:val="17"/>
              </w:rPr>
              <w:t>Si une requête échoue, vérifiez toujours le format de date ou la présence de guillemets dans votre JSON.</w:t>
            </w:r>
          </w:p>
        </w:tc>
      </w:tr>
    </w:tbl>
    <w:p>
      <w:pPr>
        <w:spacing w:after="160"/>
      </w:pPr>
    </w:p>
    <w:p>
      <w:pPr>
        <w:pStyle w:val="Heading1"/>
      </w:pPr>
      <w:r>
        <w:rPr>
          <w:color w:val="6D28A6"/>
          <w:sz w:val="28"/>
        </w:rPr>
        <w:t>6. Checklist d'Action Stagiaire (Livrables pour le Journal de Bord)</w:t>
      </w:r>
    </w:p>
    <w:p>
      <w:pPr>
        <w:pStyle w:val="ListBullet"/>
      </w:pPr>
      <w:r>
        <w:rPr>
          <w:sz w:val="19"/>
        </w:rPr>
        <w:t>Effectuer un test de bout en bout de son application en conditions réelles</w:t>
      </w:r>
    </w:p>
    <w:p>
      <w:pPr>
        <w:pStyle w:val="ListBullet"/>
      </w:pPr>
      <w:r>
        <w:rPr>
          <w:sz w:val="19"/>
        </w:rPr>
        <w:t>Mettre à jour son journal de bord avec les derniers correctifs apportés</w:t>
      </w:r>
    </w:p>
    <w:p>
      <w:pPr>
        <w:pStyle w:val="ListBullet"/>
      </w:pPr>
      <w:r>
        <w:rPr>
          <w:sz w:val="19"/>
        </w:rPr>
        <w:t>Préparer son support de présentation pour la soutenance blanche de la Session 13</w:t>
      </w:r>
    </w:p>
    <w:p>
      <w:pPr>
        <w:jc w:val="right"/>
      </w:pPr>
      <w:r>
        <w:rPr>
          <w:i/>
          <w:color w:val="8C88A6"/>
          <w:sz w:val="16"/>
        </w:rPr>
        <w:br/>
        <w:t>Document Pédagogique Officiel — OIDANEOS Live-to-Asset © 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