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D6398F"/>
          <w:sz w:val="17"/>
        </w:rPr>
        <w:t>FORMATION OIDANEOS — CONCEPTEUR &amp; DÉVELOPPEUR D'APPLICATIONS IA NO-CODE</w:t>
      </w:r>
    </w:p>
    <w:p>
      <w:pPr>
        <w:spacing w:after="40"/>
      </w:pPr>
      <w:r>
        <w:rPr>
          <w:b/>
          <w:color w:val="4E1D82"/>
          <w:sz w:val="40"/>
        </w:rPr>
        <w:t>GUIDE PÉDAGOGIQUE ÉTALON (LIVE-TO-ASSET) — SESSION 13</w:t>
      </w:r>
    </w:p>
    <w:p>
      <w:pPr>
        <w:spacing w:after="240"/>
      </w:pPr>
      <w:r>
        <w:rPr>
          <w:i/>
          <w:color w:val="D6398F"/>
          <w:sz w:val="22"/>
        </w:rPr>
        <w:t>Session 13 : Préparation aux Évaluations &amp; Bilan Final : Soutenance blanche, Passkeys vs clés API, actualisation du Journal de Bord par l'IA et clôture officielle du cursus</w:t>
      </w:r>
    </w:p>
    <w:tbl>
      <w:tblPr>
        <w:tblW w:type="auto" w:w="0"/>
        <w:jc w:val="center"/>
        <w:tblLook w:firstColumn="1" w:firstRow="1" w:lastColumn="0" w:lastRow="0" w:noHBand="0" w:noVBand="1" w:val="04A0"/>
      </w:tblPr>
      <w:tblGrid>
        <w:gridCol w:w="4968"/>
        <w:gridCol w:w="4968"/>
      </w:tblGrid>
      <w:tr>
        <w:tc>
          <w:tcPr>
            <w:tcW w:type="dxa" w:w="4968"/>
          </w:tcPr>
          <w:p>
            <w:r>
              <w:rPr>
                <w:b/>
                <w:color w:val="6D28A6"/>
                <w:sz w:val="18"/>
              </w:rPr>
              <w:t>Certification Visée</w:t>
            </w:r>
          </w:p>
        </w:tc>
        <w:tc>
          <w:tcPr>
            <w:tcW w:type="dxa" w:w="4968"/>
          </w:tcPr>
          <w:p>
            <w:r>
              <w:rPr>
                <w:sz w:val="18"/>
              </w:rPr>
              <w:t>Concepteur &amp; Développeur d'Applications IA No-Code — OIDANEOS</w:t>
            </w:r>
          </w:p>
        </w:tc>
      </w:tr>
      <w:tr>
        <w:tc>
          <w:tcPr>
            <w:tcW w:type="dxa" w:w="4968"/>
          </w:tcPr>
          <w:p>
            <w:r>
              <w:rPr>
                <w:b/>
                <w:color w:val="6D28A6"/>
                <w:sz w:val="18"/>
              </w:rPr>
              <w:t>Intervenant(s)</w:t>
            </w:r>
          </w:p>
        </w:tc>
        <w:tc>
          <w:tcPr>
            <w:tcW w:type="dxa" w:w="4968"/>
          </w:tcPr>
          <w:p>
            <w:r>
              <w:rPr>
                <w:sz w:val="18"/>
              </w:rPr>
              <w:t>Pierre LACOMBE, Milène PAUL &amp; Alain-Franck VALERO</w:t>
            </w:r>
          </w:p>
        </w:tc>
      </w:tr>
      <w:tr>
        <w:tc>
          <w:tcPr>
            <w:tcW w:type="dxa" w:w="4968"/>
          </w:tcPr>
          <w:p>
            <w:r>
              <w:rPr>
                <w:b/>
                <w:color w:val="6D28A6"/>
                <w:sz w:val="18"/>
              </w:rPr>
              <w:t>Date &amp; Durée</w:t>
            </w:r>
          </w:p>
        </w:tc>
        <w:tc>
          <w:tcPr>
            <w:tcW w:type="dxa" w:w="4968"/>
          </w:tcPr>
          <w:p>
            <w:r>
              <w:rPr>
                <w:sz w:val="18"/>
              </w:rPr>
              <w:t>31 Août 2026 (2h00 de Live)</w:t>
            </w:r>
          </w:p>
        </w:tc>
      </w:tr>
      <w:tr>
        <w:tc>
          <w:tcPr>
            <w:tcW w:type="dxa" w:w="4968"/>
          </w:tcPr>
          <w:p>
            <w:r>
              <w:rPr>
                <w:b/>
                <w:color w:val="6D28A6"/>
                <w:sz w:val="18"/>
              </w:rPr>
              <w:t>Thématique Clé</w:t>
            </w:r>
          </w:p>
        </w:tc>
        <w:tc>
          <w:tcPr>
            <w:tcW w:type="dxa" w:w="4968"/>
          </w:tcPr>
          <w:p>
            <w:r>
              <w:rPr>
                <w:sz w:val="18"/>
              </w:rPr>
              <w:t>Soutenance blanche, Passkeys vs clés API, actualisation du Journal de Bord par l'IA et clôture officielle du cursus</w:t>
            </w:r>
          </w:p>
        </w:tc>
      </w:tr>
      <w:tr>
        <w:tc>
          <w:tcPr>
            <w:tcW w:type="dxa" w:w="4968"/>
          </w:tcPr>
          <w:p>
            <w:r>
              <w:rPr>
                <w:b/>
                <w:color w:val="6D28A6"/>
                <w:sz w:val="18"/>
              </w:rPr>
              <w:t>Matière Source</w:t>
            </w:r>
          </w:p>
        </w:tc>
        <w:tc>
          <w:tcPr>
            <w:tcW w:type="dxa" w:w="4968"/>
          </w:tcPr>
          <w:p>
            <w:r>
              <w:rPr>
                <w:sz w:val="18"/>
              </w:rPr>
              <w:t>Transcription intégrale mot-à-mot du direct Zoom &amp; échanges réels du chat</w:t>
            </w:r>
          </w:p>
        </w:tc>
      </w:tr>
    </w:tbl>
    <w:p>
      <w:pPr>
        <w:spacing w:after="240"/>
      </w:pPr>
    </w:p>
    <w:p>
      <w:pPr>
        <w:pStyle w:val="Heading1"/>
      </w:pPr>
      <w:r>
        <w:rPr>
          <w:color w:val="6D28A6"/>
          <w:sz w:val="28"/>
        </w:rPr>
        <w:t>1. Cadrage Pédagogique &amp; Pourquoi cette Séance est Déterminante</w:t>
      </w:r>
    </w:p>
    <w:p>
      <w:pPr>
        <w:spacing w:after="200"/>
      </w:pPr>
      <w:r>
        <w:t>L'apothéose du parcours de formation. Les apprenants présentent leurs soutenances blanches, valident la conformité de leurs dossiers avec les exigences du certificateur et découvrent comment exploiter l'IA pour automatiser la tenue et la synthèse de leurs propres compétences professionnelles.</w:t>
      </w:r>
    </w:p>
    <w:p>
      <w:pPr>
        <w:pStyle w:val="Heading1"/>
      </w:pPr>
      <w:r>
        <w:rPr>
          <w:color w:val="6D28A6"/>
          <w:sz w:val="28"/>
        </w:rPr>
        <w:t>2. Grand Décryptage Théorique &amp; Concepts Fondamentaux</w:t>
      </w:r>
    </w:p>
    <w:p>
      <w:pPr>
        <w:pStyle w:val="Heading2"/>
      </w:pPr>
      <w:r>
        <w:rPr>
          <w:color w:val="D6398F"/>
          <w:sz w:val="23"/>
        </w:rPr>
        <w:t>2.1. L'art de la soutenance devant le jury (15 min chrono)</w:t>
      </w:r>
    </w:p>
    <w:p>
      <w:pPr>
        <w:spacing w:after="80"/>
      </w:pPr>
      <w:r>
        <w:t>Alain et Pierre distillent le tempo idéal pour captiver les examinateurs :</w:t>
        <w:br/>
        <w:t>- 3 minutes : Le contexte métier, l'irritant initial et les objectifs quantifiés.</w:t>
        <w:br/>
        <w:t>- 7 minutes : La démonstration live sans filet (montrer l'interface, la saisie, le traitement IA et la persistance en base de données).</w:t>
        <w:br/>
        <w:t>- 5 minutes : Recul critique, difficultés techniques surmontées (grâce au Journal de Bord) et feuille de route d'évolution commerciale ou organisationnelle.</w:t>
      </w:r>
    </w:p>
    <w:p>
      <w:pPr>
        <w:pStyle w:val="Heading2"/>
      </w:pPr>
      <w:r>
        <w:rPr>
          <w:color w:val="D6398F"/>
          <w:sz w:val="23"/>
        </w:rPr>
        <w:t>2.2. Actualisation continue du Journal de Bord par l'IA</w:t>
      </w:r>
    </w:p>
    <w:p>
      <w:pPr>
        <w:spacing w:after="80"/>
      </w:pPr>
      <w:r>
        <w:t>La méthode partagée par Alain Valero à 00:32:25 :</w:t>
        <w:br/>
        <w:t>- Donner à un LLM l'ensemble de ses notes brutes et lui demander d'extraire la matrice des compétences acquises alignée mot pour mot sur le référentiel officiel du titre professionnel. Un gain de temps inestimable pour valoriser chaque heure de pratique.</w:t>
      </w:r>
    </w:p>
    <w:p>
      <w:pPr>
        <w:pStyle w:val="Heading2"/>
      </w:pPr>
      <w:r>
        <w:rPr>
          <w:color w:val="D6398F"/>
          <w:sz w:val="23"/>
        </w:rPr>
        <w:t>2.3. Sécurité moderne : Les Passkeys et l'authentification sans mot de passe</w:t>
      </w:r>
    </w:p>
    <w:p>
      <w:pPr>
        <w:spacing w:after="80"/>
      </w:pPr>
      <w:r>
        <w:t>Pierre conclut sur les évolutions d'authentification : remplacement des mots de passe traditionnels vulnérables par des clés cryptographiques biométriques (Passkeys / FIDO2) intégrées nativement aux systèmes d'exploitation.</w:t>
      </w:r>
    </w:p>
    <w:p>
      <w:pPr>
        <w:spacing w:after="120"/>
      </w:pPr>
    </w:p>
    <w:p>
      <w:pPr>
        <w:pStyle w:val="Heading1"/>
      </w:pPr>
      <w:r>
        <w:rPr>
          <w:color w:val="6D28A6"/>
          <w:sz w:val="28"/>
        </w:rPr>
        <w:t>3. Cas Pratiques &amp; Méthodologie Appliquée</w:t>
      </w:r>
    </w:p>
    <w:p>
      <w:r>
        <w:rPr>
          <w:b/>
          <w:color w:val="4E1D82"/>
          <w:sz w:val="21"/>
        </w:rPr>
        <w:t>Cas pratique 1 — Passage en conditions réelles des soutenances blanches</w:t>
      </w:r>
    </w:p>
    <w:p>
      <w:pPr>
        <w:spacing w:after="80"/>
      </w:pPr>
      <w:r>
        <w:t>Simulation complète de passage devant jury blanc pour Diane, Anthony, Erwan et les autres apprenants, avec debriefing technique et conseils de posture par les formateurs.</w:t>
      </w:r>
    </w:p>
    <w:p>
      <w:pPr>
        <w:spacing w:after="120"/>
      </w:pPr>
    </w:p>
    <w:p>
      <w:pPr>
        <w:pStyle w:val="Heading1"/>
      </w:pPr>
      <w:r>
        <w:rPr>
          <w:color w:val="6D28A6"/>
          <w:sz w:val="28"/>
        </w:rPr>
        <w:t>4. Outils &amp; Technologies Clés Manipulés</w:t>
      </w:r>
    </w:p>
    <w:p>
      <w:r>
        <w:rPr>
          <w:b/>
          <w:color w:val="1A1435"/>
          <w:sz w:val="20"/>
        </w:rPr>
        <w:t>Support de Soutenance • Application Finale No-Code • Journal de Bord Certifié • Digiforma</w:t>
      </w:r>
    </w:p>
    <w:p>
      <w:pPr>
        <w:spacing w:after="120"/>
      </w:pPr>
    </w:p>
    <w:p>
      <w:pPr>
        <w:pStyle w:val="Heading1"/>
      </w:pPr>
      <w:r>
        <w:rPr>
          <w:color w:val="6D28A6"/>
          <w:sz w:val="28"/>
        </w:rPr>
        <w:t>5. Pépites, Définitions &amp; Liens Partagés dans le Chat Zoom</w:t>
      </w:r>
    </w:p>
    <w:tbl>
      <w:tblPr>
        <w:tblW w:type="auto" w:w="0"/>
        <w:jc w:val="center"/>
        <w:tblLook w:firstColumn="1" w:firstRow="1" w:lastColumn="0" w:lastRow="0" w:noHBand="0" w:noVBand="1" w:val="04A0"/>
      </w:tblPr>
      <w:tblGrid>
        <w:gridCol w:w="3312"/>
        <w:gridCol w:w="3312"/>
        <w:gridCol w:w="3312"/>
      </w:tblGrid>
      <w:tr>
        <w:tc>
          <w:tcPr>
            <w:tcW w:type="dxa" w:w="3312"/>
          </w:tcPr>
          <w:p>
            <w:r>
              <w:rPr>
                <w:b/>
                <w:color w:val="6D28A6"/>
                <w:sz w:val="18"/>
              </w:rPr>
              <w:t>Horodatage</w:t>
            </w:r>
          </w:p>
        </w:tc>
        <w:tc>
          <w:tcPr>
            <w:tcW w:type="dxa" w:w="3312"/>
          </w:tcPr>
          <w:p>
            <w:r>
              <w:rPr>
                <w:b/>
                <w:color w:val="6D28A6"/>
                <w:sz w:val="18"/>
              </w:rPr>
              <w:t>Intervenant</w:t>
            </w:r>
          </w:p>
        </w:tc>
        <w:tc>
          <w:tcPr>
            <w:tcW w:type="dxa" w:w="3312"/>
          </w:tcPr>
          <w:p>
            <w:r>
              <w:rPr>
                <w:b/>
                <w:color w:val="6D28A6"/>
                <w:sz w:val="18"/>
              </w:rPr>
              <w:t>Message &amp; Ressource</w:t>
            </w:r>
          </w:p>
        </w:tc>
      </w:tr>
      <w:tr>
        <w:tc>
          <w:tcPr>
            <w:tcW w:type="dxa" w:w="3312"/>
          </w:tcPr>
          <w:p>
            <w:r>
              <w:rPr>
                <w:sz w:val="17"/>
              </w:rPr>
              <w:t>00:26:21</w:t>
            </w:r>
          </w:p>
        </w:tc>
        <w:tc>
          <w:tcPr>
            <w:tcW w:type="dxa" w:w="3312"/>
          </w:tcPr>
          <w:p>
            <w:r>
              <w:rPr>
                <w:b/>
                <w:sz w:val="17"/>
              </w:rPr>
              <w:t>Alain Valero</w:t>
            </w:r>
          </w:p>
        </w:tc>
        <w:tc>
          <w:tcPr>
            <w:tcW w:type="dxa" w:w="3312"/>
          </w:tcPr>
          <w:p>
            <w:r>
              <w:rPr>
                <w:sz w:val="17"/>
              </w:rPr>
              <w:t>Nous avons maintenant les accès d'Erwan et d'Anthony Morvan.</w:t>
            </w:r>
          </w:p>
        </w:tc>
      </w:tr>
      <w:tr>
        <w:tc>
          <w:tcPr>
            <w:tcW w:type="dxa" w:w="3312"/>
          </w:tcPr>
          <w:p>
            <w:r>
              <w:rPr>
                <w:sz w:val="17"/>
              </w:rPr>
              <w:t>00:32:25</w:t>
            </w:r>
          </w:p>
        </w:tc>
        <w:tc>
          <w:tcPr>
            <w:tcW w:type="dxa" w:w="3312"/>
          </w:tcPr>
          <w:p>
            <w:r>
              <w:rPr>
                <w:b/>
                <w:sz w:val="17"/>
              </w:rPr>
              <w:t>Alain Valero</w:t>
            </w:r>
          </w:p>
        </w:tc>
        <w:tc>
          <w:tcPr>
            <w:tcW w:type="dxa" w:w="3312"/>
          </w:tcPr>
          <w:p>
            <w:r>
              <w:rPr>
                <w:sz w:val="17"/>
              </w:rPr>
              <w:t>On devrait profiter d'un moment de la session pour remontrer le journal de bord et même l'actualiser via une IA pour chacun.</w:t>
            </w:r>
          </w:p>
        </w:tc>
      </w:tr>
      <w:tr>
        <w:tc>
          <w:tcPr>
            <w:tcW w:type="dxa" w:w="3312"/>
          </w:tcPr>
          <w:p>
            <w:r>
              <w:rPr>
                <w:sz w:val="17"/>
              </w:rPr>
              <w:t>01:08:16</w:t>
            </w:r>
          </w:p>
        </w:tc>
        <w:tc>
          <w:tcPr>
            <w:tcW w:type="dxa" w:w="3312"/>
          </w:tcPr>
          <w:p>
            <w:r>
              <w:rPr>
                <w:b/>
                <w:sz w:val="17"/>
              </w:rPr>
              <w:t>Alain Valero</w:t>
            </w:r>
          </w:p>
        </w:tc>
        <w:tc>
          <w:tcPr>
            <w:tcW w:type="dxa" w:w="3312"/>
          </w:tcPr>
          <w:p>
            <w:r>
              <w:rPr>
                <w:sz w:val="17"/>
              </w:rPr>
              <w:t>Diane et Antho avec vos applis, vous êtes déjà prêts pour le journal de bord et le jury !</w:t>
            </w:r>
          </w:p>
        </w:tc>
      </w:tr>
    </w:tbl>
    <w:p>
      <w:pPr>
        <w:spacing w:after="160"/>
      </w:pPr>
    </w:p>
    <w:p>
      <w:pPr>
        <w:pStyle w:val="Heading1"/>
      </w:pPr>
      <w:r>
        <w:rPr>
          <w:color w:val="6D28A6"/>
          <w:sz w:val="28"/>
        </w:rPr>
        <w:t>6. Checklist d'Action Stagiaire (Livrables pour le Journal de Bord)</w:t>
      </w:r>
    </w:p>
    <w:p>
      <w:pPr>
        <w:pStyle w:val="ListBullet"/>
      </w:pPr>
      <w:r>
        <w:rPr>
          <w:sz w:val="19"/>
        </w:rPr>
        <w:t>Valider la complétude de son dossier de projet sur Digiforma</w:t>
      </w:r>
    </w:p>
    <w:p>
      <w:pPr>
        <w:pStyle w:val="ListBullet"/>
      </w:pPr>
      <w:r>
        <w:rPr>
          <w:sz w:val="19"/>
        </w:rPr>
        <w:t>Exporter et signer la version finale de son Journal de Bord</w:t>
      </w:r>
    </w:p>
    <w:p>
      <w:pPr>
        <w:pStyle w:val="ListBullet"/>
      </w:pPr>
      <w:r>
        <w:rPr>
          <w:sz w:val="19"/>
        </w:rPr>
        <w:t>Vérifier que le lien public de son application fonctionne sans compte développeur</w:t>
      </w:r>
    </w:p>
    <w:p>
      <w:pPr>
        <w:pStyle w:val="ListBullet"/>
      </w:pPr>
      <w:r>
        <w:rPr>
          <w:sz w:val="19"/>
        </w:rPr>
        <w:t>Répéter sa soutenance de 15 minutes avec un chronomètre en main</w:t>
      </w:r>
    </w:p>
    <w:p>
      <w:pPr>
        <w:jc w:val="right"/>
      </w:pPr>
      <w:r>
        <w:rPr>
          <w:i/>
          <w:color w:val="8C88A6"/>
          <w:sz w:val="16"/>
        </w:rPr>
        <w:br/>
        <w:t>Document Pédagogique Officiel — OIDANEOS Live-to-Asset © 2026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