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D6398F"/>
          <w:sz w:val="17"/>
        </w:rPr>
        <w:t>FORMATION OIDANEOS — CONCEPTEUR &amp; DÉVELOPPEUR D'APPLICATIONS IA NO-CODE</w:t>
      </w:r>
    </w:p>
    <w:p>
      <w:pPr>
        <w:spacing w:after="40"/>
      </w:pPr>
      <w:r>
        <w:rPr>
          <w:b/>
          <w:color w:val="4E1D82"/>
          <w:sz w:val="40"/>
        </w:rPr>
        <w:t>GUIDE PÉDAGOGIQUE ÉTALON (LIVE-TO-ASSET) — SESSION 2</w:t>
      </w:r>
    </w:p>
    <w:p>
      <w:pPr>
        <w:spacing w:after="240"/>
      </w:pPr>
      <w:r>
        <w:rPr>
          <w:i/>
          <w:color w:val="D6398F"/>
          <w:sz w:val="22"/>
        </w:rPr>
        <w:t>Session 2 : Cas Pratiques Celestory &amp; Journal de Bord : Maîtrise des variables dynamiques, boucles d'interaction et consolidation du Journal de Bord pour l'examen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Certification Visée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Concepteur &amp; Développeur d'Applications IA No-Code — OIDANEOS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Intervenant(s)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Milène PAUL (Coordination)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Date &amp; Durée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15 Juin 2026 (2h00 de Live)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Thématique Clé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Maîtrise des variables dynamiques, boucles d'interaction et consolidation du Journal de Bord pour l'examen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Matière Source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Transcription intégrale mot-à-mot du direct Zoom &amp; échanges réels du chat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D28A6"/>
          <w:sz w:val="28"/>
        </w:rPr>
        <w:t>1. Cadrage Pédagogique &amp; Pourquoi cette Séance est Déterminante</w:t>
      </w:r>
    </w:p>
    <w:p>
      <w:pPr>
        <w:spacing w:after="200"/>
      </w:pPr>
      <w:r>
        <w:t>Une séance charnière dédiée à la fiabilisation technique des premiers prototypes interactifs. Milène accompagne les apprenants dans la résolution des blocages logiques fréquents et sanctuarise le Journal de Bord comme outil de valorisation des compétences.</w:t>
      </w:r>
    </w:p>
    <w:p>
      <w:pPr>
        <w:pStyle w:val="Heading1"/>
      </w:pPr>
      <w:r>
        <w:rPr>
          <w:color w:val="6D28A6"/>
          <w:sz w:val="28"/>
        </w:rPr>
        <w:t>2. Grand Décryptage Théorique &amp; Concepts Fondamentaux</w:t>
      </w:r>
    </w:p>
    <w:p>
      <w:pPr>
        <w:pStyle w:val="Heading2"/>
      </w:pPr>
      <w:r>
        <w:rPr>
          <w:color w:val="D6398F"/>
          <w:sz w:val="23"/>
        </w:rPr>
        <w:t>2.1. Typologie et portée des variables dans une application No-Code</w:t>
      </w:r>
    </w:p>
    <w:p>
      <w:pPr>
        <w:spacing w:after="80"/>
      </w:pPr>
      <w:r>
        <w:t>Comprendre la nature des variables est indispensable pour éviter les comportements aberrants :</w:t>
        <w:br/>
        <w:t>- Variables scalaires (Texte, Nombre, Booléen) : stocker une valeur unique (ex: prénom, âge, score_atteint = VRAI/FAUX).</w:t>
        <w:br/>
        <w:t>- Variables de session vs persistantes : les variables temporaires s'effacent au rafraîchissement de la page, tandis que les variables persistantes doivent être sauvegardées en base pour retrouver l'état du stagiaire lors de sa prochaine connexion.</w:t>
        <w:br/>
        <w:t>- La convention de nommage : bannir les espaces et accents dans les noms de variables (`score_quiz` et non `score du quiz !`) pour garantir la compatibilité universelle avec les futures requêtes API.</w:t>
      </w:r>
    </w:p>
    <w:p>
      <w:pPr>
        <w:pStyle w:val="Heading2"/>
      </w:pPr>
      <w:r>
        <w:rPr>
          <w:color w:val="D6398F"/>
          <w:sz w:val="23"/>
        </w:rPr>
        <w:t>2.2. La rédaction méthodique du Journal de Bord</w:t>
      </w:r>
    </w:p>
    <w:p>
      <w:pPr>
        <w:spacing w:after="80"/>
      </w:pPr>
      <w:r>
        <w:t>Milène décortique les attentes précises du jury sur ce livrable contractuel :</w:t>
        <w:br/>
        <w:t>- Ne pas se contenter de décrire le résultat final, mais documenter le cheminement : « Quel était le problème ? », « Quelles hypothèses ont été testées ? », « Pourquoi cette solution No-Code a-t-elle été retenue plutôt qu'une autre ? ».</w:t>
        <w:br/>
        <w:t>- Chaque difficulté surmontée est une preuve de compétence en ingénierie : un journal trop parfait sans aucune erreur documentée est suspect pour un examinateur aguerri.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3. Cas Pratiques &amp; Méthodologie Appliquée</w:t>
      </w:r>
    </w:p>
    <w:p>
      <w:r>
        <w:rPr>
          <w:b/>
          <w:color w:val="4E1D82"/>
          <w:sz w:val="21"/>
        </w:rPr>
        <w:t>Cas pratique 1 — Débogage en direct d'un scénario Celestory bloqué</w:t>
      </w:r>
    </w:p>
    <w:p>
      <w:pPr>
        <w:spacing w:after="80"/>
      </w:pPr>
      <w:r>
        <w:t>Analyse d'un bug récurrent soumis par un apprenant : une variable mal typée empêchait la condition de redirection de se déclencher. Démonstration de l'outil d'inspection de Celestory pour visualiser la valeur des variables en temps réel.</w:t>
      </w:r>
    </w:p>
    <w:p>
      <w:r>
        <w:rPr>
          <w:b/>
          <w:color w:val="4E1D82"/>
          <w:sz w:val="21"/>
        </w:rPr>
        <w:t>Cas pratique 2 — Mise en place d'un système de scoring dynamique</w:t>
      </w:r>
    </w:p>
    <w:p>
      <w:pPr>
        <w:spacing w:after="80"/>
      </w:pPr>
      <w:r>
        <w:t>Configuration d'un quiz à embranchements multiples où chaque réponse correcte incrémente un compteur global `points_total = points_total + 10`, débouchant sur des écrans de restitution différenciés selon le palier atteint.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4. Outils &amp; Technologies Clés Manipulés</w:t>
      </w:r>
    </w:p>
    <w:p>
      <w:r>
        <w:rPr>
          <w:b/>
          <w:color w:val="1A1435"/>
          <w:sz w:val="20"/>
        </w:rPr>
        <w:t>Celestory Studio • Notion / Word (Journal de bord) • Figma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5. Pépites, Définitions &amp; Liens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Horodatage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Intervenant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Message &amp; Ressource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00:19:22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Notez chaque blocage technique et la solution trouvée directement dans votre journal de bord.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00:38:40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Milène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Toujours tester votre scénario avec des valeurs limites (ex: score égal à 0 ou négatif).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6D28A6"/>
          <w:sz w:val="28"/>
        </w:rPr>
        <w:t>6. Checklist d'Action Stagiaire (Livrables pour le Journal de Bord)</w:t>
      </w:r>
    </w:p>
    <w:p>
      <w:pPr>
        <w:pStyle w:val="ListBullet"/>
      </w:pPr>
      <w:r>
        <w:rPr>
          <w:sz w:val="19"/>
        </w:rPr>
        <w:t>Implémenter au minimum 3 variables dynamiques fonctionnelles dans son scénario Celestory</w:t>
      </w:r>
    </w:p>
    <w:p>
      <w:pPr>
        <w:pStyle w:val="ListBullet"/>
      </w:pPr>
      <w:r>
        <w:rPr>
          <w:sz w:val="19"/>
        </w:rPr>
        <w:t>Mettre en place une condition logique stricte orientant vers 2 parcours distincts</w:t>
      </w:r>
    </w:p>
    <w:p>
      <w:pPr>
        <w:pStyle w:val="ListBullet"/>
      </w:pPr>
      <w:r>
        <w:rPr>
          <w:sz w:val="19"/>
        </w:rPr>
        <w:t>Documenter au moins un cas de débogage réel dans son journal de bord avec capture d'écran</w:t>
      </w:r>
    </w:p>
    <w:p>
      <w:pPr>
        <w:pStyle w:val="ListBullet"/>
      </w:pPr>
      <w:r>
        <w:rPr>
          <w:sz w:val="19"/>
        </w:rPr>
        <w:t>Tester son scénario sur un smartphone pour valider la lisibilité des boutons</w:t>
      </w:r>
    </w:p>
    <w:p>
      <w:pPr>
        <w:jc w:val="right"/>
      </w:pPr>
      <w:r>
        <w:rPr>
          <w:i/>
          <w:color w:val="8C88A6"/>
          <w:sz w:val="16"/>
        </w:rPr>
        <w:br/>
        <w:t>Document Pédagogique Officiel — OIDANEOS Live-to-Asset ©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