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3</w:t>
      </w:r>
    </w:p>
    <w:p>
      <w:pPr>
        <w:spacing w:after="240"/>
      </w:pPr>
      <w:r>
        <w:rPr>
          <w:i/>
          <w:color w:val="D6398F"/>
          <w:sz w:val="22"/>
        </w:rPr>
        <w:t>Session 3 : Présentation des Projets &amp; Arrivée de Pierre : Soutenance flash des apprenants, revue critique d'architecture et transmission de relais vers l'expertise IA avancée</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Milène PAUL &amp; Pierre LACOMBE (Expert IA)</w:t>
            </w:r>
          </w:p>
        </w:tc>
      </w:tr>
      <w:tr>
        <w:tc>
          <w:tcPr>
            <w:tcW w:type="dxa" w:w="4968"/>
          </w:tcPr>
          <w:p>
            <w:r>
              <w:rPr>
                <w:b/>
                <w:color w:val="6D28A6"/>
                <w:sz w:val="18"/>
              </w:rPr>
              <w:t>Date &amp; Durée</w:t>
            </w:r>
          </w:p>
        </w:tc>
        <w:tc>
          <w:tcPr>
            <w:tcW w:type="dxa" w:w="4968"/>
          </w:tcPr>
          <w:p>
            <w:r>
              <w:rPr>
                <w:sz w:val="18"/>
              </w:rPr>
              <w:t>22 Juin 2026 (2h00 de Live)</w:t>
            </w:r>
          </w:p>
        </w:tc>
      </w:tr>
      <w:tr>
        <w:tc>
          <w:tcPr>
            <w:tcW w:type="dxa" w:w="4968"/>
          </w:tcPr>
          <w:p>
            <w:r>
              <w:rPr>
                <w:b/>
                <w:color w:val="6D28A6"/>
                <w:sz w:val="18"/>
              </w:rPr>
              <w:t>Thématique Clé</w:t>
            </w:r>
          </w:p>
        </w:tc>
        <w:tc>
          <w:tcPr>
            <w:tcW w:type="dxa" w:w="4968"/>
          </w:tcPr>
          <w:p>
            <w:r>
              <w:rPr>
                <w:sz w:val="18"/>
              </w:rPr>
              <w:t>Soutenance flash des apprenants, revue critique d'architecture et transmission de relais vers l'expertise IA avancée</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Session à fort enjeu marquant la fin du premier tiers de la formation. Chaque stagiaire pitche son prototype interactif devant le groupe et bénéficie pour la première fois du regard affûté de Pierre Lacombe, qui rejoint le cursus pour piloter le déploiement des modèles d'IA et des bases de données professionnelles.</w:t>
      </w:r>
    </w:p>
    <w:p>
      <w:pPr>
        <w:pStyle w:val="Heading1"/>
      </w:pPr>
      <w:r>
        <w:rPr>
          <w:color w:val="6D28A6"/>
          <w:sz w:val="28"/>
        </w:rPr>
        <w:t>2. Grand Décryptage Théorique &amp; Concepts Fondamentaux</w:t>
      </w:r>
    </w:p>
    <w:p>
      <w:pPr>
        <w:pStyle w:val="Heading2"/>
      </w:pPr>
      <w:r>
        <w:rPr>
          <w:color w:val="D6398F"/>
          <w:sz w:val="23"/>
        </w:rPr>
        <w:t>2.1. L'exercice du Pitch Technique (Format Soutenance Officielle)</w:t>
      </w:r>
    </w:p>
    <w:p>
      <w:pPr>
        <w:spacing w:after="80"/>
      </w:pPr>
      <w:r>
        <w:t>Milène et Pierre cadrent la structure d'une présentation percutante en 5 minutes chrono :</w:t>
        <w:br/>
        <w:t>1. La promesse de valeur : quel irritant réel l'application règle-t-elle ?</w:t>
        <w:br/>
        <w:t>2. La démonstration utilisateur : pas de blabla théorique, un flux live testé sous les yeux des spectateurs.</w:t>
        <w:br/>
        <w:t>3. L'architecture sous le capot : explicitation des variables, des embranchements et des données manipulées.</w:t>
        <w:br/>
        <w:t>4. Les prochaines étapes : quelles briques d'IA et quelles tables relationnelles viendront décupler la puissance de l'outil.</w:t>
      </w:r>
    </w:p>
    <w:p>
      <w:pPr>
        <w:pStyle w:val="Heading2"/>
      </w:pPr>
      <w:r>
        <w:rPr>
          <w:color w:val="D6398F"/>
          <w:sz w:val="23"/>
        </w:rPr>
        <w:t>2.2. Le principe de frugalité No-Code de Pierre Lacombe</w:t>
      </w:r>
    </w:p>
    <w:p>
      <w:pPr>
        <w:spacing w:after="80"/>
      </w:pPr>
      <w:r>
        <w:t>Dès sa première intervention, Pierre martèle une règle d'or d'ingénierie : « Le meilleur outil n'est pas le plus complexe, mais celui qui demande le moins de maintenance et consomme le moins de ressources ». Ne cherchez pas à brancher une IA générative là où une simple règle logique conditionnelle suffit : l'IA doit être réservée à la valeur ajoutée cognitive (synthèse, personnalisation, raisonnement flou).</w:t>
      </w:r>
    </w:p>
    <w:p>
      <w:pPr>
        <w:spacing w:after="120"/>
      </w:pPr>
    </w:p>
    <w:p>
      <w:pPr>
        <w:pStyle w:val="Heading1"/>
      </w:pPr>
      <w:r>
        <w:rPr>
          <w:color w:val="6D28A6"/>
          <w:sz w:val="28"/>
        </w:rPr>
        <w:t>3. Cas Pratiques &amp; Méthodologie Appliquée</w:t>
      </w:r>
    </w:p>
    <w:p>
      <w:r>
        <w:rPr>
          <w:b/>
          <w:color w:val="4E1D82"/>
          <w:sz w:val="21"/>
        </w:rPr>
        <w:t>Cas pratique 1 — Passage en revue des prototypes de la cohorte</w:t>
      </w:r>
    </w:p>
    <w:p>
      <w:pPr>
        <w:spacing w:after="80"/>
      </w:pPr>
      <w:r>
        <w:t>Soutenance des projets d'Alain, d'Anthony et des autres stagiaires. Analyse en direct des points forts (ergonomie, clarté du propos) et des vulnérabilités (trop de texte par écran, absence de persistance des données).</w:t>
      </w:r>
    </w:p>
    <w:p>
      <w:r>
        <w:rPr>
          <w:b/>
          <w:color w:val="4E1D82"/>
          <w:sz w:val="21"/>
        </w:rPr>
        <w:t>Cas pratique 2 — Diagnostic d'éligibilité IA de chaque projet</w:t>
      </w:r>
    </w:p>
    <w:p>
      <w:pPr>
        <w:spacing w:after="80"/>
      </w:pPr>
      <w:r>
        <w:t>Pierre passe au crible chaque cas d'usage pour identifier la brique IA idoine : génération de texte contextuel, classification automatique de demandes, transcription audio ou requêtage en langage naturel.</w:t>
      </w:r>
    </w:p>
    <w:p>
      <w:pPr>
        <w:spacing w:after="120"/>
      </w:pPr>
    </w:p>
    <w:p>
      <w:pPr>
        <w:pStyle w:val="Heading1"/>
      </w:pPr>
      <w:r>
        <w:rPr>
          <w:color w:val="6D28A6"/>
          <w:sz w:val="28"/>
        </w:rPr>
        <w:t>4. Outils &amp; Technologies Clés Manipulés</w:t>
      </w:r>
    </w:p>
    <w:p>
      <w:r>
        <w:rPr>
          <w:b/>
          <w:color w:val="1A1435"/>
          <w:sz w:val="20"/>
        </w:rPr>
        <w:t>Celestory Studio • Baserow Preview • Claude 3.5 Sonnet • ChatGPT Plus</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00:14:05</w:t>
            </w:r>
          </w:p>
        </w:tc>
        <w:tc>
          <w:tcPr>
            <w:tcW w:type="dxa" w:w="3312"/>
          </w:tcPr>
          <w:p>
            <w:r>
              <w:rPr>
                <w:b/>
                <w:sz w:val="17"/>
              </w:rPr>
              <w:t>Pierre Lacombe</w:t>
            </w:r>
          </w:p>
        </w:tc>
        <w:tc>
          <w:tcPr>
            <w:tcW w:type="dxa" w:w="3312"/>
          </w:tcPr>
          <w:p>
            <w:r>
              <w:rPr>
                <w:sz w:val="17"/>
              </w:rPr>
              <w:t>Bienvenue à tous ! Hâte de découvrir vos cas d'usage et de booster vos architectures No-Code.</w:t>
            </w:r>
          </w:p>
        </w:tc>
      </w:tr>
      <w:tr>
        <w:tc>
          <w:tcPr>
            <w:tcW w:type="dxa" w:w="3312"/>
          </w:tcPr>
          <w:p>
            <w:r>
              <w:rPr>
                <w:sz w:val="17"/>
              </w:rPr>
              <w:t>01:02:40</w:t>
            </w:r>
          </w:p>
        </w:tc>
        <w:tc>
          <w:tcPr>
            <w:tcW w:type="dxa" w:w="3312"/>
          </w:tcPr>
          <w:p>
            <w:r>
              <w:rPr>
                <w:b/>
                <w:sz w:val="17"/>
              </w:rPr>
              <w:t>Pierre Lacombe</w:t>
            </w:r>
          </w:p>
        </w:tc>
        <w:tc>
          <w:tcPr>
            <w:tcW w:type="dxa" w:w="3312"/>
          </w:tcPr>
          <w:p>
            <w:r>
              <w:rPr>
                <w:sz w:val="17"/>
              </w:rPr>
              <w:t>Ne cherchez pas à tout coder : le meilleur outil est celui qui demande le moins de maintenance.</w:t>
            </w:r>
          </w:p>
        </w:tc>
      </w:tr>
    </w:tbl>
    <w:p>
      <w:pPr>
        <w:spacing w:after="160"/>
      </w:pPr>
    </w:p>
    <w:p>
      <w:pPr>
        <w:pStyle w:val="Heading1"/>
      </w:pPr>
      <w:r>
        <w:rPr>
          <w:color w:val="6D28A6"/>
          <w:sz w:val="28"/>
        </w:rPr>
        <w:t>6. Checklist d'Action Stagiaire (Livrables pour le Journal de Bord)</w:t>
      </w:r>
    </w:p>
    <w:p>
      <w:pPr>
        <w:pStyle w:val="ListBullet"/>
      </w:pPr>
      <w:r>
        <w:rPr>
          <w:sz w:val="19"/>
        </w:rPr>
        <w:t>Noter l'ensemble des retours critiques formulés par Pierre et Milène sur son prototype</w:t>
      </w:r>
    </w:p>
    <w:p>
      <w:pPr>
        <w:pStyle w:val="ListBullet"/>
      </w:pPr>
      <w:r>
        <w:rPr>
          <w:sz w:val="19"/>
        </w:rPr>
        <w:t>Nettoyer son arborescence Celestory pour la rendre parfaitement lisible</w:t>
      </w:r>
    </w:p>
    <w:p>
      <w:pPr>
        <w:pStyle w:val="ListBullet"/>
      </w:pPr>
      <w:r>
        <w:rPr>
          <w:sz w:val="19"/>
        </w:rPr>
        <w:t>Définir avec précision la tâche cognitive exacte qui sera déléguée à l'IA dans les prochaines sessions</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