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4</w:t>
      </w:r>
    </w:p>
    <w:p>
      <w:pPr>
        <w:spacing w:after="240"/>
      </w:pPr>
      <w:r>
        <w:rPr>
          <w:i/>
          <w:color w:val="D6398F"/>
          <w:sz w:val="22"/>
        </w:rPr>
        <w:t>Session 4 : Fondations IA, LLM &amp; Changement de Paradigme : Fonctionnement profond des Transformers, tokens, multimodalité, tool calling, GPU et passage du terminal au langage naturel</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Pierre LACOMBE (Expert IA)</w:t>
            </w:r>
          </w:p>
        </w:tc>
      </w:tr>
      <w:tr>
        <w:tc>
          <w:tcPr>
            <w:tcW w:type="dxa" w:w="4968"/>
          </w:tcPr>
          <w:p>
            <w:r>
              <w:rPr>
                <w:b/>
                <w:color w:val="6D28A6"/>
                <w:sz w:val="18"/>
              </w:rPr>
              <w:t>Date &amp; Durée</w:t>
            </w:r>
          </w:p>
        </w:tc>
        <w:tc>
          <w:tcPr>
            <w:tcW w:type="dxa" w:w="4968"/>
          </w:tcPr>
          <w:p>
            <w:r>
              <w:rPr>
                <w:sz w:val="18"/>
              </w:rPr>
              <w:t>01 Juillet 2026 (2h00 de Live)</w:t>
            </w:r>
          </w:p>
        </w:tc>
      </w:tr>
      <w:tr>
        <w:tc>
          <w:tcPr>
            <w:tcW w:type="dxa" w:w="4968"/>
          </w:tcPr>
          <w:p>
            <w:r>
              <w:rPr>
                <w:b/>
                <w:color w:val="6D28A6"/>
                <w:sz w:val="18"/>
              </w:rPr>
              <w:t>Thématique Clé</w:t>
            </w:r>
          </w:p>
        </w:tc>
        <w:tc>
          <w:tcPr>
            <w:tcW w:type="dxa" w:w="4968"/>
          </w:tcPr>
          <w:p>
            <w:r>
              <w:rPr>
                <w:sz w:val="18"/>
              </w:rPr>
              <w:t>Fonctionnement profond des Transformers, tokens, multimodalité, tool calling, GPU et passage du terminal au langage naturel</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Une masterclass théorique et pratique de premier ordre. Pierre Lacombe démonte le mythe de la 'pensée' artificielle pour révéler la mécanique mathématique des grands modèles de langage. Comprendre les fondations des Transformers est le seul moyen de concevoir des applications fiables sans subir les hallucinations.</w:t>
      </w:r>
    </w:p>
    <w:p>
      <w:pPr>
        <w:pStyle w:val="Heading1"/>
      </w:pPr>
      <w:r>
        <w:rPr>
          <w:color w:val="6D28A6"/>
          <w:sz w:val="28"/>
        </w:rPr>
        <w:t>2. Grand Décryptage Théorique &amp; Concepts Fondamentaux</w:t>
      </w:r>
    </w:p>
    <w:p>
      <w:pPr>
        <w:pStyle w:val="Heading2"/>
      </w:pPr>
      <w:r>
        <w:rPr>
          <w:color w:val="D6398F"/>
          <w:sz w:val="23"/>
        </w:rPr>
        <w:t>2.1. L'architecture Transformer &amp; le calcul probabiliste de Tokens</w:t>
      </w:r>
    </w:p>
    <w:p>
      <w:pPr>
        <w:spacing w:after="80"/>
      </w:pPr>
      <w:r>
        <w:t>Pierre décortique la révolution de l'article fondateur « Attention Is All You Need » (2017) :</w:t>
        <w:br/>
        <w:t>- Un modèle de langage ne manipule jamais de mots entiers, mais des tokens (fragments syllabiques). En moyenne, 1 token ≈ 4 caractères, et 1 000 tokens ≈ 750 mots en anglais (un peu moins en français).</w:t>
        <w:br/>
        <w:t>- Mécanisme d'attention : le modèle calcule la corrélation statistique entre tous les tokens présents dans la fenêtre de contexte pour prédire le token suivant le plus probable.</w:t>
        <w:br/>
        <w:t>- La notion de température : régler la température à 0 produit une réponse déterministe et reproductible (idéale pour extraire du JSON ou du code). Une température à 0.7 ou 1.0 introduit de la diversité probabiliste (pour de la créativité ou du brainstorming).</w:t>
      </w:r>
    </w:p>
    <w:p>
      <w:pPr>
        <w:pStyle w:val="Heading2"/>
      </w:pPr>
      <w:r>
        <w:rPr>
          <w:color w:val="D6398F"/>
          <w:sz w:val="23"/>
        </w:rPr>
        <w:t>2.2. Du Terminal (CLI) au Langage Naturel : Le nouveau paradigme</w:t>
      </w:r>
    </w:p>
    <w:p>
      <w:pPr>
        <w:spacing w:after="80"/>
      </w:pPr>
      <w:r>
        <w:t>Historiquement, pour piloter un ordinateur, l'humain devait apprendre la syntaxe de la machine (lignes de commande, assembleur, C, Python). Avec les LLM, c'est la machine qui s'est adaptée au langage naturel humain. Le prompt devient une spécification logicielle : plus vos instructions sont rigoureuses, structurées et sans ambiguïté, plus le résultat est prédictible.</w:t>
      </w:r>
    </w:p>
    <w:p>
      <w:pPr>
        <w:pStyle w:val="Heading2"/>
      </w:pPr>
      <w:r>
        <w:rPr>
          <w:color w:val="D6398F"/>
          <w:sz w:val="23"/>
        </w:rPr>
        <w:t>2.3. Économie des LLM : Propriétaire vs Open Source &amp; Guerre des GPU</w:t>
      </w:r>
    </w:p>
    <w:p>
      <w:pPr>
        <w:spacing w:after="80"/>
      </w:pPr>
      <w:r>
        <w:t>Pierre analyse les rapports de force industriels :</w:t>
        <w:br/>
        <w:t>- Les modèles propriétaires (OpenAI GPT-4o, Anthropic Claude 3.5 Sonnet, Google Gemini) : hébergés sur des fermes de calcul colossales (puces Nvidia H100/B200), accessibles via API payante au token.</w:t>
        <w:br/>
        <w:t>- Les modèles ouverts (Meta Llama 3, Mistral Large, DeepSeek, Qwen) : téléchargeables et déployables sur ses propres serveurs pour garantir la souveraineté et la confidentialité des données sensibles.</w:t>
      </w:r>
    </w:p>
    <w:p>
      <w:pPr>
        <w:pStyle w:val="Heading2"/>
      </w:pPr>
      <w:r>
        <w:rPr>
          <w:color w:val="D6398F"/>
          <w:sz w:val="23"/>
        </w:rPr>
        <w:t>2.4. Le Tool Calling (Function Calling) : Des bras et des jambes pour l'IA</w:t>
      </w:r>
    </w:p>
    <w:p>
      <w:pPr>
        <w:spacing w:after="80"/>
      </w:pPr>
      <w:r>
        <w:t>Un modèle isolé ne sait que produire du texte. Le Tool Calling lui permet d'interagir avec l'extérieur : l'IA détecte qu'elle a besoin d'une information extérieure (météo, cours de bourse, recherche en base de données), génère un appel de fonction au format JSON strict, attend la réponse du système et formule une synthèse enrichie.</w:t>
      </w:r>
    </w:p>
    <w:p>
      <w:pPr>
        <w:spacing w:after="120"/>
      </w:pPr>
    </w:p>
    <w:p>
      <w:pPr>
        <w:pStyle w:val="Heading1"/>
      </w:pPr>
      <w:r>
        <w:rPr>
          <w:color w:val="6D28A6"/>
          <w:sz w:val="28"/>
        </w:rPr>
        <w:t>3. Cas Pratiques &amp; Méthodologie Appliquée</w:t>
      </w:r>
    </w:p>
    <w:p>
      <w:r>
        <w:rPr>
          <w:b/>
          <w:color w:val="4E1D82"/>
          <w:sz w:val="21"/>
        </w:rPr>
        <w:t>Cas pratique 1 — Calcul de consommation de tokens et dimensionnement budgétaire</w:t>
      </w:r>
    </w:p>
    <w:p>
      <w:pPr>
        <w:spacing w:after="80"/>
      </w:pPr>
      <w:r>
        <w:t>Exercice de chiffrage réel : estimation du coût mensuel d'une application de service client traitant 1 000 requêtes de 2 000 tokens par jour sur Claude Sonnet vs Claude Haiku vs GPT-4o-mini.</w:t>
      </w:r>
    </w:p>
    <w:p>
      <w:r>
        <w:rPr>
          <w:b/>
          <w:color w:val="4E1D82"/>
          <w:sz w:val="21"/>
        </w:rPr>
        <w:t>Cas pratique 2 — Formatage d'un prompt imposant une sortie en JSON strict</w:t>
      </w:r>
    </w:p>
    <w:p>
      <w:pPr>
        <w:spacing w:after="80"/>
      </w:pPr>
      <w:r>
        <w:t>Démonstration de prompting d'ingénierie : interdire tout texte de politesse et forcer le modèle à répondre exclusivement par un tableau JSON validable par un programme No-Code.</w:t>
      </w:r>
    </w:p>
    <w:p>
      <w:pPr>
        <w:spacing w:after="120"/>
      </w:pPr>
    </w:p>
    <w:p>
      <w:pPr>
        <w:pStyle w:val="Heading1"/>
      </w:pPr>
      <w:r>
        <w:rPr>
          <w:color w:val="6D28A6"/>
          <w:sz w:val="28"/>
        </w:rPr>
        <w:t>4. Outils &amp; Technologies Clés Manipulés</w:t>
      </w:r>
    </w:p>
    <w:p>
      <w:r>
        <w:rPr>
          <w:b/>
          <w:color w:val="1A1435"/>
          <w:sz w:val="20"/>
        </w:rPr>
        <w:t>OpenAI Platform • Anthropic Console (Claude 3.5) • Hugging Face Hub • Postman / cURL • Make</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00:09:57</w:t>
            </w:r>
          </w:p>
        </w:tc>
        <w:tc>
          <w:tcPr>
            <w:tcW w:type="dxa" w:w="3312"/>
          </w:tcPr>
          <w:p>
            <w:r>
              <w:rPr>
                <w:b/>
                <w:sz w:val="17"/>
              </w:rPr>
              <w:t>Alain Valero</w:t>
            </w:r>
          </w:p>
        </w:tc>
        <w:tc>
          <w:tcPr>
            <w:tcW w:type="dxa" w:w="3312"/>
          </w:tcPr>
          <w:p>
            <w:r>
              <w:rPr>
                <w:sz w:val="17"/>
              </w:rPr>
              <w:t>N'hésitez pas à mettre vos caméras pour la session de Pierre !</w:t>
            </w:r>
          </w:p>
        </w:tc>
      </w:tr>
      <w:tr>
        <w:tc>
          <w:tcPr>
            <w:tcW w:type="dxa" w:w="3312"/>
          </w:tcPr>
          <w:p>
            <w:r>
              <w:rPr>
                <w:sz w:val="17"/>
              </w:rPr>
              <w:t>00:45:18</w:t>
            </w:r>
          </w:p>
        </w:tc>
        <w:tc>
          <w:tcPr>
            <w:tcW w:type="dxa" w:w="3312"/>
          </w:tcPr>
          <w:p>
            <w:r>
              <w:rPr>
                <w:b/>
                <w:sz w:val="17"/>
              </w:rPr>
              <w:t>Pierre Lacombe</w:t>
            </w:r>
          </w:p>
        </w:tc>
        <w:tc>
          <w:tcPr>
            <w:tcW w:type="dxa" w:w="3312"/>
          </w:tcPr>
          <w:p>
            <w:r>
              <w:rPr>
                <w:sz w:val="17"/>
              </w:rPr>
              <w:t>Le token n'est pas un mot complet : c'est une sous-unité syllabique mathématique.</w:t>
            </w:r>
          </w:p>
        </w:tc>
      </w:tr>
      <w:tr>
        <w:tc>
          <w:tcPr>
            <w:tcW w:type="dxa" w:w="3312"/>
          </w:tcPr>
          <w:p>
            <w:r>
              <w:rPr>
                <w:sz w:val="17"/>
              </w:rPr>
              <w:t>01:12:30</w:t>
            </w:r>
          </w:p>
        </w:tc>
        <w:tc>
          <w:tcPr>
            <w:tcW w:type="dxa" w:w="3312"/>
          </w:tcPr>
          <w:p>
            <w:r>
              <w:rPr>
                <w:b/>
                <w:sz w:val="17"/>
              </w:rPr>
              <w:t>Pierre Lacombe</w:t>
            </w:r>
          </w:p>
        </w:tc>
        <w:tc>
          <w:tcPr>
            <w:tcW w:type="dxa" w:w="3312"/>
          </w:tcPr>
          <w:p>
            <w:r>
              <w:rPr>
                <w:sz w:val="17"/>
              </w:rPr>
              <w:t>Le Tool Calling transforme le chatbot passif en orchestrateur autonome de processus métiers.</w:t>
            </w:r>
          </w:p>
        </w:tc>
      </w:tr>
    </w:tbl>
    <w:p>
      <w:pPr>
        <w:spacing w:after="160"/>
      </w:pPr>
    </w:p>
    <w:p>
      <w:pPr>
        <w:pStyle w:val="Heading1"/>
      </w:pPr>
      <w:r>
        <w:rPr>
          <w:color w:val="6D28A6"/>
          <w:sz w:val="28"/>
        </w:rPr>
        <w:t>6. Checklist d'Action Stagiaire (Livrables pour le Journal de Bord)</w:t>
      </w:r>
    </w:p>
    <w:p>
      <w:pPr>
        <w:pStyle w:val="ListBullet"/>
      </w:pPr>
      <w:r>
        <w:rPr>
          <w:sz w:val="19"/>
        </w:rPr>
        <w:t>Créer son compte développeur sur la console OpenAI ou Anthropic</w:t>
      </w:r>
    </w:p>
    <w:p>
      <w:pPr>
        <w:pStyle w:val="ListBullet"/>
      </w:pPr>
      <w:r>
        <w:rPr>
          <w:sz w:val="19"/>
        </w:rPr>
        <w:t>Générer une clé API sécurisée et tester un premier appel en cURL ou Postman</w:t>
      </w:r>
    </w:p>
    <w:p>
      <w:pPr>
        <w:pStyle w:val="ListBullet"/>
      </w:pPr>
      <w:r>
        <w:rPr>
          <w:sz w:val="19"/>
        </w:rPr>
        <w:t>Rédiger un prompt système avec rôle d'expert, contraintes négatives et format de sortie JSON imposé</w:t>
      </w:r>
    </w:p>
    <w:p>
      <w:pPr>
        <w:pStyle w:val="ListBullet"/>
      </w:pPr>
      <w:r>
        <w:rPr>
          <w:sz w:val="19"/>
        </w:rPr>
        <w:t>Consigner l'analyse coût/performance des modèles dans son Journal de Bord</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