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D6398F"/>
          <w:sz w:val="17"/>
        </w:rPr>
        <w:t>FORMATION OIDANEOS — CONCEPTEUR &amp; DÉVELOPPEUR D'APPLICATIONS IA NO-CODE</w:t>
      </w:r>
    </w:p>
    <w:p>
      <w:pPr>
        <w:spacing w:after="40"/>
      </w:pPr>
      <w:r>
        <w:rPr>
          <w:b/>
          <w:color w:val="4E1D82"/>
          <w:sz w:val="40"/>
        </w:rPr>
        <w:t>GUIDE PÉDAGOGIQUE ÉTALON (LIVE-TO-ASSET) — SESSION 6</w:t>
      </w:r>
    </w:p>
    <w:p>
      <w:pPr>
        <w:spacing w:after="240"/>
      </w:pPr>
      <w:r>
        <w:rPr>
          <w:i/>
          <w:color w:val="D6398F"/>
          <w:sz w:val="22"/>
        </w:rPr>
        <w:t>Session 6 : Architecture Avancée &amp; Automatisation : Flux de données événementiels, webhooks, connexions d'API Baserow et gestion des erreurs en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Certification Visée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Concepteur &amp; Développeur d'Applications IA No-Code — OIDANEOS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Intervenant(s)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Pierre LACOMBE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Date &amp; Durée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13 Juillet 2026 (2h00 de Live)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Thématique Clé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Flux de données événementiels, webhooks, connexions d'API Baserow et gestion des erreurs en production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Matière Source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Transcription intégrale mot-à-mot du direct Zoom &amp; échanges réels du chat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D28A6"/>
          <w:sz w:val="28"/>
        </w:rPr>
        <w:t>1. Cadrage Pédagogique &amp; Pourquoi cette Séance est Déterminante</w:t>
      </w:r>
    </w:p>
    <w:p>
      <w:pPr>
        <w:spacing w:after="200"/>
      </w:pPr>
      <w:r>
        <w:t>Après avoir posé la mémoire avec Baserow, cette séance installe le système nerveux de l'application : comment faire communiquer la base de données avec des services tiers et des modèles d'IA sans intervention humaine grâce aux webhooks et aux orchestrateurs de flux.</w:t>
      </w:r>
    </w:p>
    <w:p>
      <w:pPr>
        <w:pStyle w:val="Heading1"/>
      </w:pPr>
      <w:r>
        <w:rPr>
          <w:color w:val="6D28A6"/>
          <w:sz w:val="28"/>
        </w:rPr>
        <w:t>2. Grand Décryptage Théorique &amp; Concepts Fondamentaux</w:t>
      </w:r>
    </w:p>
    <w:p>
      <w:pPr>
        <w:pStyle w:val="Heading2"/>
      </w:pPr>
      <w:r>
        <w:rPr>
          <w:color w:val="D6398F"/>
          <w:sz w:val="23"/>
        </w:rPr>
        <w:t>2.1. Le paradigme événementiel (Event-Driven Architecture)</w:t>
      </w:r>
    </w:p>
    <w:p>
      <w:pPr>
        <w:spacing w:after="80"/>
      </w:pPr>
      <w:r>
        <w:t>Pierre explique pourquoi le polling (interroger un serveur toutes les 5 secondes pour savoir s'il y a du nouveau) est obsolète :</w:t>
        <w:br/>
        <w:t>- Il consomme inutilement du quota d'API et sature les serveurs.</w:t>
        <w:br/>
        <w:t>- Le Webhook inverse le flux : dès qu'une action survient dans Baserow (ex: 'Nouveau devoir déposé'), Baserow envoie instantanément une requête HTTP POST vers l'URL configurée avec les données fraîches en payload JSON.</w:t>
      </w:r>
    </w:p>
    <w:p>
      <w:pPr>
        <w:pStyle w:val="Heading2"/>
      </w:pPr>
      <w:r>
        <w:rPr>
          <w:color w:val="D6398F"/>
          <w:sz w:val="23"/>
        </w:rPr>
        <w:t>2.2. Gestion de la résilience et des codes de statut HTTP</w:t>
      </w:r>
    </w:p>
    <w:p>
      <w:pPr>
        <w:spacing w:after="80"/>
      </w:pPr>
      <w:r>
        <w:t>Règles d'or pour un système qui ne plante pas en silence :</w:t>
        <w:br/>
        <w:t>- Code 200/201 : l'opération a réussi.</w:t>
        <w:br/>
        <w:t>- Code 400/422 : erreur dans la requête (JSON mal formé, champ obligatoire manquant).</w:t>
        <w:br/>
        <w:t>- Code 429 : Rate Limit dépassé (vous appelez l'API OpenAI trop vite, il faut temporiser avec un retry exponentiel).</w:t>
        <w:br/>
        <w:t>- Code 500 : le serveur distant a planté, il faut stocker l'événement dans une file d'attente (Dead Letter Queue) pour le rejouer plus tard.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3. Cas Pratiques &amp; Méthodologie Appliquée</w:t>
      </w:r>
    </w:p>
    <w:p>
      <w:r>
        <w:rPr>
          <w:b/>
          <w:color w:val="4E1D82"/>
          <w:sz w:val="21"/>
        </w:rPr>
        <w:t>Cas pratique 1 — Création d'un webhook Baserow vers un outil d'automatisation</w:t>
      </w:r>
    </w:p>
    <w:p>
      <w:pPr>
        <w:spacing w:after="80"/>
      </w:pPr>
      <w:r>
        <w:t>Démonstration de la capture en temps réel d'un formulaire stagiaire déclenchant l'analyse automatique du texte par un modèle LLM et la mise à jour immédiate de la ligne dans Baserow.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4. Outils &amp; Technologies Clés Manipulés</w:t>
      </w:r>
    </w:p>
    <w:p>
      <w:r>
        <w:rPr>
          <w:b/>
          <w:color w:val="1A1435"/>
          <w:sz w:val="20"/>
        </w:rPr>
        <w:t>Baserow Webhooks • Make • Postman • Claude 3.5 Sonnet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5. Pépites, Définitions &amp; Liens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Horodatage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Intervenant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Message &amp; Ressource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00:36:12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Coordinatrice OIDANEOS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Oui, les webhooks sont compatibles avec toutes les formules cloud.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01:24:00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Pierre Lacombe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Pensez toujours au timeout de vos requêtes externes : 30 secondes maximum.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6D28A6"/>
          <w:sz w:val="28"/>
        </w:rPr>
        <w:t>6. Checklist d'Action Stagiaire (Livrables pour le Journal de Bord)</w:t>
      </w:r>
    </w:p>
    <w:p>
      <w:pPr>
        <w:pStyle w:val="ListBullet"/>
      </w:pPr>
      <w:r>
        <w:rPr>
          <w:sz w:val="19"/>
        </w:rPr>
        <w:t>Configurer un webhook sur sa table Baserow</w:t>
      </w:r>
    </w:p>
    <w:p>
      <w:pPr>
        <w:pStyle w:val="ListBullet"/>
      </w:pPr>
      <w:r>
        <w:rPr>
          <w:sz w:val="19"/>
        </w:rPr>
        <w:t>Tester la réception du payload JSON dans son outil de flux (Make ou n8n)</w:t>
      </w:r>
    </w:p>
    <w:p>
      <w:pPr>
        <w:pStyle w:val="ListBullet"/>
      </w:pPr>
      <w:r>
        <w:rPr>
          <w:sz w:val="19"/>
        </w:rPr>
        <w:t>Vérifier la bonne écriture de la réponse de l'IA dans la table de destination</w:t>
      </w:r>
    </w:p>
    <w:p>
      <w:pPr>
        <w:jc w:val="right"/>
      </w:pPr>
      <w:r>
        <w:rPr>
          <w:i/>
          <w:color w:val="8C88A6"/>
          <w:sz w:val="16"/>
        </w:rPr>
        <w:br/>
        <w:t>Document Pédagogique Officiel — OIDANEOS Live-to-Asset ©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