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D6398F"/>
          <w:sz w:val="17"/>
        </w:rPr>
        <w:t>FORMATION OIDANEOS — CONCEPTEUR &amp; DÉVELOPPEUR D'APPLICATIONS IA NO-CODE</w:t>
      </w:r>
    </w:p>
    <w:p>
      <w:pPr>
        <w:spacing w:after="40"/>
      </w:pPr>
      <w:r>
        <w:rPr>
          <w:b/>
          <w:color w:val="4E1D82"/>
          <w:sz w:val="40"/>
        </w:rPr>
        <w:t>GUIDE PÉDAGOGIQUE ÉTALON (LIVE-TO-ASSET) — SESSION 8</w:t>
      </w:r>
    </w:p>
    <w:p>
      <w:pPr>
        <w:spacing w:after="240"/>
      </w:pPr>
      <w:r>
        <w:rPr>
          <w:i/>
          <w:color w:val="D6398F"/>
          <w:sz w:val="22"/>
        </w:rPr>
        <w:t>Session 8 : Design d'Interfaces &amp; Expérience Utilisateur IA : Conception d'écrans pour applications dopées à l'IA, saisie intégrée au fil conducteur et réduction de la charge cognitive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color w:val="6D28A6"/>
                <w:sz w:val="18"/>
              </w:rPr>
              <w:t>Certification Visée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Concepteur &amp; Développeur d'Applications IA No-Code — OIDANEOS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6D28A6"/>
                <w:sz w:val="18"/>
              </w:rPr>
              <w:t>Intervenant(s)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Pierre LACOMBE &amp; Milène PAUL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6D28A6"/>
                <w:sz w:val="18"/>
              </w:rPr>
              <w:t>Date &amp; Durée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27 Juillet 2026 (2h00 de Live)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6D28A6"/>
                <w:sz w:val="18"/>
              </w:rPr>
              <w:t>Thématique Clé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Conception d'écrans pour applications dopées à l'IA, saisie intégrée au fil conducteur et réduction de la charge cognitive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6D28A6"/>
                <w:sz w:val="18"/>
              </w:rPr>
              <w:t>Matière Source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Transcription intégrale mot-à-mot du direct Zoom &amp; échanges réels du chat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6D28A6"/>
          <w:sz w:val="28"/>
        </w:rPr>
        <w:t>1. Cadrage Pédagogique &amp; Pourquoi cette Séance est Déterminante</w:t>
      </w:r>
    </w:p>
    <w:p>
      <w:pPr>
        <w:spacing w:after="200"/>
      </w:pPr>
      <w:r>
        <w:t>L'ergonomie d'une application IA obéit à des règles psychologiques bien particulières : comment rassurer l'utilisateur face à un résultat généré, lui donner la main pour corriger et masquer la latence des modèles.</w:t>
      </w:r>
    </w:p>
    <w:p>
      <w:pPr>
        <w:pStyle w:val="Heading1"/>
      </w:pPr>
      <w:r>
        <w:rPr>
          <w:color w:val="6D28A6"/>
          <w:sz w:val="28"/>
        </w:rPr>
        <w:t>2. Grand Décryptage Théorique &amp; Concepts Fondamentaux</w:t>
      </w:r>
    </w:p>
    <w:p>
      <w:pPr>
        <w:pStyle w:val="Heading2"/>
      </w:pPr>
      <w:r>
        <w:rPr>
          <w:color w:val="D6398F"/>
          <w:sz w:val="23"/>
        </w:rPr>
        <w:t>2.1. Le principe de la saisie intégrée au fil conducteur</w:t>
      </w:r>
    </w:p>
    <w:p>
      <w:pPr>
        <w:spacing w:after="80"/>
      </w:pPr>
      <w:r>
        <w:t>Pierre démontre comment éviter la rupture d'attention : l'utilisateur ne doit pas être renvoyé vers une page tierce pour saisir une donnée. La saisie doit s'opérer directement dans le flux conversationnel ou contextuel du composant actif.</w:t>
      </w:r>
    </w:p>
    <w:p>
      <w:pPr>
        <w:pStyle w:val="Heading2"/>
      </w:pPr>
      <w:r>
        <w:rPr>
          <w:color w:val="D6398F"/>
          <w:sz w:val="23"/>
        </w:rPr>
        <w:t>2.2. Donner le sentiment de contrôle à l'utilisateur (Human-in-the-loop)</w:t>
      </w:r>
    </w:p>
    <w:p>
      <w:pPr>
        <w:spacing w:after="80"/>
      </w:pPr>
      <w:r>
        <w:t>Ne jamais imposer le résultat d'un LLM sans validation humaine : toujours offrir un bouton 'Régénérer avec d'autres critères', 'Modifier le texte manuellement' ou 'Copier dans le presse-papier'.</w:t>
      </w:r>
    </w:p>
    <w:p>
      <w:pPr>
        <w:spacing w:after="120"/>
      </w:pPr>
    </w:p>
    <w:p>
      <w:pPr>
        <w:pStyle w:val="Heading1"/>
      </w:pPr>
      <w:r>
        <w:rPr>
          <w:color w:val="6D28A6"/>
          <w:sz w:val="28"/>
        </w:rPr>
        <w:t>3. Cas Pratiques &amp; Méthodologie Appliquée</w:t>
      </w:r>
    </w:p>
    <w:p>
      <w:r>
        <w:rPr>
          <w:b/>
          <w:color w:val="4E1D82"/>
          <w:sz w:val="21"/>
        </w:rPr>
        <w:t>Cas pratique 1 — Intégration d'un composant de mise à jour en direct</w:t>
      </w:r>
    </w:p>
    <w:p>
      <w:pPr>
        <w:spacing w:after="80"/>
      </w:pPr>
      <w:r>
        <w:t>Configuration d'un bloc de mise à jour des détails d'un profil apprenant avec validation visuelle instantanée.</w:t>
      </w:r>
    </w:p>
    <w:p>
      <w:pPr>
        <w:spacing w:after="120"/>
      </w:pPr>
    </w:p>
    <w:p>
      <w:pPr>
        <w:pStyle w:val="Heading1"/>
      </w:pPr>
      <w:r>
        <w:rPr>
          <w:color w:val="6D28A6"/>
          <w:sz w:val="28"/>
        </w:rPr>
        <w:t>4. Outils &amp; Technologies Clés Manipulés</w:t>
      </w:r>
    </w:p>
    <w:p>
      <w:r>
        <w:rPr>
          <w:b/>
          <w:color w:val="1A1435"/>
          <w:sz w:val="20"/>
        </w:rPr>
        <w:t>Celestory UI • Figma • Tailwind CSS • Lucide Icons</w:t>
      </w:r>
    </w:p>
    <w:p>
      <w:pPr>
        <w:spacing w:after="120"/>
      </w:pPr>
    </w:p>
    <w:p>
      <w:pPr>
        <w:pStyle w:val="Heading1"/>
      </w:pPr>
      <w:r>
        <w:rPr>
          <w:color w:val="6D28A6"/>
          <w:sz w:val="28"/>
        </w:rPr>
        <w:t>5. Pépites, Définitions &amp; Liens Partagés dans le Chat Zoom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color w:val="6D28A6"/>
                <w:sz w:val="18"/>
              </w:rPr>
              <w:t>Horodatage</w:t>
            </w:r>
          </w:p>
        </w:tc>
        <w:tc>
          <w:tcPr>
            <w:tcW w:type="dxa" w:w="3312"/>
          </w:tcPr>
          <w:p>
            <w:r>
              <w:rPr>
                <w:b/>
                <w:color w:val="6D28A6"/>
                <w:sz w:val="18"/>
              </w:rPr>
              <w:t>Intervenant</w:t>
            </w:r>
          </w:p>
        </w:tc>
        <w:tc>
          <w:tcPr>
            <w:tcW w:type="dxa" w:w="3312"/>
          </w:tcPr>
          <w:p>
            <w:r>
              <w:rPr>
                <w:b/>
                <w:color w:val="6D28A6"/>
                <w:sz w:val="18"/>
              </w:rPr>
              <w:t>Message &amp; Ressource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00:33:15</w:t>
            </w:r>
          </w:p>
        </w:tc>
        <w:tc>
          <w:tcPr>
            <w:tcW w:type="dxa" w:w="3312"/>
          </w:tcPr>
          <w:p>
            <w:r>
              <w:rPr>
                <w:b/>
                <w:sz w:val="17"/>
              </w:rPr>
              <w:t>Pierre Lacombe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L'utilisateur ne doit jamais se demander si l'application est bloquée ou en train de calculer.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6D28A6"/>
          <w:sz w:val="28"/>
        </w:rPr>
        <w:t>6. Checklist d'Action Stagiaire (Livrables pour le Journal de Bord)</w:t>
      </w:r>
    </w:p>
    <w:p>
      <w:pPr>
        <w:pStyle w:val="ListBullet"/>
      </w:pPr>
      <w:r>
        <w:rPr>
          <w:sz w:val="19"/>
        </w:rPr>
        <w:t>Ajouter des indicateurs visuels de chargement sur toutes les requêtes IA</w:t>
      </w:r>
    </w:p>
    <w:p>
      <w:pPr>
        <w:pStyle w:val="ListBullet"/>
      </w:pPr>
      <w:r>
        <w:rPr>
          <w:sz w:val="19"/>
        </w:rPr>
        <w:t>Proposer un bouton de modification manuelle des textes générés</w:t>
      </w:r>
    </w:p>
    <w:p>
      <w:pPr>
        <w:pStyle w:val="ListBullet"/>
      </w:pPr>
      <w:r>
        <w:rPr>
          <w:sz w:val="19"/>
        </w:rPr>
        <w:t>Harmoniser les contrastes et les marges selon les standards d'accessibilité</w:t>
      </w:r>
    </w:p>
    <w:p>
      <w:pPr>
        <w:jc w:val="right"/>
      </w:pPr>
      <w:r>
        <w:rPr>
          <w:i/>
          <w:color w:val="8C88A6"/>
          <w:sz w:val="16"/>
        </w:rPr>
        <w:br/>
        <w:t>Document Pédagogique Officiel — OIDANEOS Live-to-Asset © 2026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