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D6398F"/>
          <w:sz w:val="17"/>
        </w:rPr>
        <w:t>FORMATION OIDANEOS — CONCEPTEUR &amp; DÉVELOPPEUR D'APPLICATIONS IA NO-CODE</w:t>
      </w:r>
    </w:p>
    <w:p>
      <w:pPr>
        <w:spacing w:after="40"/>
      </w:pPr>
      <w:r>
        <w:rPr>
          <w:b/>
          <w:color w:val="4E1D82"/>
          <w:sz w:val="40"/>
        </w:rPr>
        <w:t>GUIDE PÉDAGOGIQUE ÉTALON (LIVE-TO-ASSET) — SESSION 9</w:t>
      </w:r>
    </w:p>
    <w:p>
      <w:pPr>
        <w:spacing w:after="240"/>
      </w:pPr>
      <w:r>
        <w:rPr>
          <w:i/>
          <w:color w:val="D6398F"/>
          <w:sz w:val="22"/>
        </w:rPr>
        <w:t>Session 9 : Contexte IA : Personnalisation, Données et Identité du Projet : ⭐ Guide Pilote d'Excellence — LLM probabiliste, exercice du Roast, efficience du Markdown (vs Word/PDF), getdesign.md et Vibe Coding en SVG</w:t>
      </w:r>
    </w:p>
    <w:tbl>
      <w:tblPr>
        <w:tblW w:type="auto" w:w="0"/>
        <w:jc w:val="center"/>
        <w:tblLook w:firstColumn="1" w:firstRow="1" w:lastColumn="0" w:lastRow="0" w:noHBand="0" w:noVBand="1" w:val="04A0"/>
      </w:tblPr>
      <w:tblGrid>
        <w:gridCol w:w="4968"/>
        <w:gridCol w:w="4968"/>
      </w:tblGrid>
      <w:tr>
        <w:tc>
          <w:tcPr>
            <w:tcW w:type="dxa" w:w="4968"/>
          </w:tcPr>
          <w:p>
            <w:r>
              <w:rPr>
                <w:b/>
                <w:color w:val="6D28A6"/>
                <w:sz w:val="18"/>
              </w:rPr>
              <w:t>Certification Visée</w:t>
            </w:r>
          </w:p>
        </w:tc>
        <w:tc>
          <w:tcPr>
            <w:tcW w:type="dxa" w:w="4968"/>
          </w:tcPr>
          <w:p>
            <w:r>
              <w:rPr>
                <w:sz w:val="18"/>
              </w:rPr>
              <w:t>Concepteur &amp; Développeur d'Applications IA No-Code — OIDANEOS</w:t>
            </w:r>
          </w:p>
        </w:tc>
      </w:tr>
      <w:tr>
        <w:tc>
          <w:tcPr>
            <w:tcW w:type="dxa" w:w="4968"/>
          </w:tcPr>
          <w:p>
            <w:r>
              <w:rPr>
                <w:b/>
                <w:color w:val="6D28A6"/>
                <w:sz w:val="18"/>
              </w:rPr>
              <w:t>Intervenant(s)</w:t>
            </w:r>
          </w:p>
        </w:tc>
        <w:tc>
          <w:tcPr>
            <w:tcW w:type="dxa" w:w="4968"/>
          </w:tcPr>
          <w:p>
            <w:r>
              <w:rPr>
                <w:sz w:val="18"/>
              </w:rPr>
              <w:t>Pierre LACOMBE (Expert IA) &amp; Milène PAUL (Coordination)</w:t>
            </w:r>
          </w:p>
        </w:tc>
      </w:tr>
      <w:tr>
        <w:tc>
          <w:tcPr>
            <w:tcW w:type="dxa" w:w="4968"/>
          </w:tcPr>
          <w:p>
            <w:r>
              <w:rPr>
                <w:b/>
                <w:color w:val="6D28A6"/>
                <w:sz w:val="18"/>
              </w:rPr>
              <w:t>Date &amp; Durée</w:t>
            </w:r>
          </w:p>
        </w:tc>
        <w:tc>
          <w:tcPr>
            <w:tcW w:type="dxa" w:w="4968"/>
          </w:tcPr>
          <w:p>
            <w:r>
              <w:rPr>
                <w:sz w:val="18"/>
              </w:rPr>
              <w:t>03 Août 2026 (2h00 de Live)</w:t>
            </w:r>
          </w:p>
        </w:tc>
      </w:tr>
      <w:tr>
        <w:tc>
          <w:tcPr>
            <w:tcW w:type="dxa" w:w="4968"/>
          </w:tcPr>
          <w:p>
            <w:r>
              <w:rPr>
                <w:b/>
                <w:color w:val="6D28A6"/>
                <w:sz w:val="18"/>
              </w:rPr>
              <w:t>Thématique Clé</w:t>
            </w:r>
          </w:p>
        </w:tc>
        <w:tc>
          <w:tcPr>
            <w:tcW w:type="dxa" w:w="4968"/>
          </w:tcPr>
          <w:p>
            <w:r>
              <w:rPr>
                <w:sz w:val="18"/>
              </w:rPr>
              <w:t>⭐ Guide Pilote d'Excellence — LLM probabiliste, exercice du Roast, efficience du Markdown (vs Word/PDF), getdesign.md et Vibe Coding en SVG</w:t>
            </w:r>
          </w:p>
        </w:tc>
      </w:tr>
      <w:tr>
        <w:tc>
          <w:tcPr>
            <w:tcW w:type="dxa" w:w="4968"/>
          </w:tcPr>
          <w:p>
            <w:r>
              <w:rPr>
                <w:b/>
                <w:color w:val="6D28A6"/>
                <w:sz w:val="18"/>
              </w:rPr>
              <w:t>Matière Source</w:t>
            </w:r>
          </w:p>
        </w:tc>
        <w:tc>
          <w:tcPr>
            <w:tcW w:type="dxa" w:w="4968"/>
          </w:tcPr>
          <w:p>
            <w:r>
              <w:rPr>
                <w:sz w:val="18"/>
              </w:rPr>
              <w:t>Transcription intégrale mot-à-mot du direct Zoom &amp; échanges réels du chat</w:t>
            </w:r>
          </w:p>
        </w:tc>
      </w:tr>
    </w:tbl>
    <w:p>
      <w:pPr>
        <w:spacing w:after="240"/>
      </w:pPr>
    </w:p>
    <w:p>
      <w:pPr>
        <w:pStyle w:val="Heading1"/>
      </w:pPr>
      <w:r>
        <w:rPr>
          <w:color w:val="6D28A6"/>
          <w:sz w:val="28"/>
        </w:rPr>
        <w:t>1. Cadrage Pédagogique &amp; Pourquoi cette Séance est Déterminante</w:t>
      </w:r>
    </w:p>
    <w:p>
      <w:pPr>
        <w:spacing w:after="200"/>
      </w:pPr>
      <w:r>
        <w:t>La séance tournant de l'ensemble de la formation. Jusqu'ici, nous avons appris à manipuler les outils de façon isolée (interroger ChatGPT, brancher Baserow, créer des embranchements Celestory). Cette Session 9 marque le passage du 'bricolage avec des prompts' à la conception d'applications professionnelles, cohérentes et sur-mesure.</w:t>
        <w:br/>
        <w:br/>
        <w:t>Le constat fondateur de Pierre Lacombe : si vous ne donnez aucun contexte à un LLM, il vous répondra toujours de manière générique, fade et impersonnelle. Pour qu'une IA produise du contenu ou du code qui ressemble à votre marque ou votre entreprise, vous devez lui injecter un contexte rigoureux et maîtrisé.</w:t>
      </w:r>
    </w:p>
    <w:p>
      <w:pPr>
        <w:pStyle w:val="Heading1"/>
      </w:pPr>
      <w:r>
        <w:rPr>
          <w:color w:val="6D28A6"/>
          <w:sz w:val="28"/>
        </w:rPr>
        <w:t>2. Grand Décryptage Théorique &amp; Concepts Fondamentaux</w:t>
      </w:r>
    </w:p>
    <w:p>
      <w:pPr>
        <w:pStyle w:val="Heading2"/>
      </w:pPr>
      <w:r>
        <w:rPr>
          <w:color w:val="D6398F"/>
          <w:sz w:val="23"/>
        </w:rPr>
        <w:t>2.1. Décryptage Théorique : Comment un LLM 'pense'-t-il réellement ?</w:t>
      </w:r>
    </w:p>
    <w:p>
      <w:pPr>
        <w:spacing w:after="80"/>
      </w:pPr>
      <w:r>
        <w:t>Un modèle de langage (GPT-4o, Claude 3.5 Sonnet, Gemini) ne possède aucune conscience ni intentionnalité humaine. C'est un compresseur de données probabiliste géant issu de l'ingestion de milliards de pages web.</w:t>
        <w:br/>
        <w:t>Quand vous lui soumettez un texte, son unique travail mathématique est de calculer : « Quel est le token le plus probable qui vient ensuite ? ».</w:t>
        <w:br/>
        <w:t>Sans contexte spécifique, la loi des grands nombres produit un texte moyen, sans âme. En lui fournissant un contexte dense (vos interdits lexicaux, vos valeurs, votre persona, votre charte de ton), vous contraignez l'espace des probabilités : le modèle est forcé de choisir les mots rares et spécifiques qui correspondent exactement à votre identité de marque.</w:t>
      </w:r>
    </w:p>
    <w:p>
      <w:pPr>
        <w:pStyle w:val="Heading2"/>
      </w:pPr>
      <w:r>
        <w:rPr>
          <w:color w:val="D6398F"/>
          <w:sz w:val="23"/>
        </w:rPr>
        <w:t>2.2. L'Exercice du Roast Positif : Extraire son style par effet miroir</w:t>
      </w:r>
    </w:p>
    <w:p>
      <w:pPr>
        <w:spacing w:after="80"/>
      </w:pPr>
      <w:r>
        <w:t>Au cours de la séance (à 00:56:39), Milène partage le prompt officiel exécuté en direct par Pierre et les apprenants : « Fais un roast positif sur tout ce que tu sais de moi ».</w:t>
        <w:br/>
        <w:t>Pourquoi cet exercice est génial pédagogiquement ?</w:t>
        <w:br/>
        <w:t>Dans la tradition américaine, un 'roast' est un discours taquin qui se moque affectueusement de quelqu'un en amplifiant ses manies.</w:t>
        <w:br/>
        <w:t>Puisque vous utilisez votre compte IA depuis des semaines, le modèle a mémorisé dans son historique vos tics de langage, vos doutes récurrents et vos sujets favoris.</w:t>
        <w:br/>
        <w:t>En lui demandant ce roast, l'IA crache le morceau et vous renvoie le miroir exact de votre profil.</w:t>
        <w:br/>
        <w:t>Méthode d'exploitation immédiate : demandez-lui dans la foulée : « À partir de cette analyse, formalise mon guide de style en 10 règles strictes pour mes futures générations de contenu ».</w:t>
      </w:r>
    </w:p>
    <w:p>
      <w:pPr>
        <w:pStyle w:val="Heading2"/>
      </w:pPr>
      <w:r>
        <w:rPr>
          <w:color w:val="D6398F"/>
          <w:sz w:val="23"/>
        </w:rPr>
        <w:t>2.3. Efficience des Tokens : Pourquoi le Markdown (.md) est le format roi pour l'IA</w:t>
      </w:r>
    </w:p>
    <w:p>
      <w:pPr>
        <w:spacing w:after="80"/>
      </w:pPr>
      <w:r>
        <w:t>Pierre met en garde contre une hérésie d'ingénierie récurrente : injecter des fichiers PDF ou Word comme contexte d'un LLM.</w:t>
        <w:br/>
        <w:t>- Le PDF (.pdf) : nécessite un OCR ou un parsing graphique lourd, consomme des milliers de tokens inutiles, détruit l'alignement des colonnes et ralentit les temps de réponse.</w:t>
        <w:br/>
        <w:t>- Le Word (.docx) : archive binaire encombrée de métadonnées invisibles (historique des révisions, styles Word) superflues pour le modèle.</w:t>
        <w:br/>
        <w:t>- Le Markdown (.md) : texte pur universel (#, -, **, |). Zéro gaspillage de tokens, interprété nativement à 100% par tous les LLMs. C'est le format standard absolu de l'ingénierie IA.</w:t>
      </w:r>
    </w:p>
    <w:p>
      <w:pPr>
        <w:pStyle w:val="Heading2"/>
      </w:pPr>
      <w:r>
        <w:rPr>
          <w:color w:val="D6398F"/>
          <w:sz w:val="23"/>
        </w:rPr>
        <w:t>2.4. L'Outil getdesign.md &amp; Le Vibe Coding en SVG Vectoriel</w:t>
      </w:r>
    </w:p>
    <w:p>
      <w:pPr>
        <w:spacing w:after="80"/>
      </w:pPr>
      <w:r>
        <w:t>Partagé dans le chat à 01:18:19 : https://getdesign.md/. Cet outil permet de générer une charte graphique complète en Markdown pur (palettes hexadécimales, typographies, espacements) à copier-coller dans le prompt système de vos modèles.</w:t>
        <w:br/>
        <w:t>Pour les visuels, Pierre préconise le Vibe Coding en SVG : demander au modèle de générer du code vectoriel &lt;svg&gt; plutôt que des images PNG lourdes et figées. Le SVG est du texte pur que vous pouvez éditer, redimensionner à l'infini et animer en direct sans perte de qualité.</w:t>
      </w:r>
    </w:p>
    <w:p>
      <w:pPr>
        <w:spacing w:after="120"/>
      </w:pPr>
    </w:p>
    <w:p>
      <w:pPr>
        <w:pStyle w:val="Heading1"/>
      </w:pPr>
      <w:r>
        <w:rPr>
          <w:color w:val="6D28A6"/>
          <w:sz w:val="28"/>
        </w:rPr>
        <w:t>3. Cas Pratiques &amp; Méthodologie Appliquée</w:t>
      </w:r>
    </w:p>
    <w:p>
      <w:r>
        <w:rPr>
          <w:b/>
          <w:color w:val="4E1D82"/>
          <w:sz w:val="21"/>
        </w:rPr>
        <w:t>Cas pratique 1 — Exécution en direct du prompt du Roast sur son profil</w:t>
      </w:r>
    </w:p>
    <w:p>
      <w:pPr>
        <w:spacing w:after="80"/>
      </w:pPr>
      <w:r>
        <w:t>Test immédiat sur ChatGPT ou Claude, analyse des tournures favorites de l'IA et extraction de sa charte éditoriale personnelle.</w:t>
      </w:r>
    </w:p>
    <w:p>
      <w:r>
        <w:rPr>
          <w:b/>
          <w:color w:val="4E1D82"/>
          <w:sz w:val="21"/>
        </w:rPr>
        <w:t>Cas pratique 2 — Formalisation d'un design system complet avec getdesign.md</w:t>
      </w:r>
    </w:p>
    <w:p>
      <w:pPr>
        <w:spacing w:after="80"/>
      </w:pPr>
      <w:r>
        <w:t>Création de la palette OIDANEOS (Violet #6D28A6, Rose #D6398F) et injection du fichier Markdown dans le contexte d'un composant web.</w:t>
      </w:r>
    </w:p>
    <w:p>
      <w:r>
        <w:rPr>
          <w:b/>
          <w:color w:val="4E1D82"/>
          <w:sz w:val="21"/>
        </w:rPr>
        <w:t>Cas pratique 3 — Génération et intégration d'une icône vectorielle SVG par l'IA</w:t>
      </w:r>
    </w:p>
    <w:p>
      <w:pPr>
        <w:spacing w:after="80"/>
      </w:pPr>
      <w:r>
        <w:t>Demande à Claude de produire le code XML d'un badge de certification vectoriel et inclusion directe dans la page sans image matricielle.</w:t>
      </w:r>
    </w:p>
    <w:p>
      <w:pPr>
        <w:spacing w:after="120"/>
      </w:pPr>
    </w:p>
    <w:p>
      <w:pPr>
        <w:pStyle w:val="Heading1"/>
      </w:pPr>
      <w:r>
        <w:rPr>
          <w:color w:val="6D28A6"/>
          <w:sz w:val="28"/>
        </w:rPr>
        <w:t>4. Outils &amp; Technologies Clés Manipulés</w:t>
      </w:r>
    </w:p>
    <w:p>
      <w:r>
        <w:rPr>
          <w:b/>
          <w:color w:val="1A1435"/>
          <w:sz w:val="20"/>
        </w:rPr>
        <w:t>Claude 3.5 Sonnet • ChatGPT Plus • getdesign.md • Baserow (Données CSV/JSON) • SVG Vectoriel • Figma</w:t>
      </w:r>
    </w:p>
    <w:p>
      <w:pPr>
        <w:spacing w:after="120"/>
      </w:pPr>
    </w:p>
    <w:p>
      <w:pPr>
        <w:pStyle w:val="Heading1"/>
      </w:pPr>
      <w:r>
        <w:rPr>
          <w:color w:val="6D28A6"/>
          <w:sz w:val="28"/>
        </w:rPr>
        <w:t>5. Pépites, Définitions &amp; Liens Partagés dans le Chat Zoom</w:t>
      </w:r>
    </w:p>
    <w:tbl>
      <w:tblPr>
        <w:tblW w:type="auto" w:w="0"/>
        <w:jc w:val="center"/>
        <w:tblLook w:firstColumn="1" w:firstRow="1" w:lastColumn="0" w:lastRow="0" w:noHBand="0" w:noVBand="1" w:val="04A0"/>
      </w:tblPr>
      <w:tblGrid>
        <w:gridCol w:w="3312"/>
        <w:gridCol w:w="3312"/>
        <w:gridCol w:w="3312"/>
      </w:tblGrid>
      <w:tr>
        <w:tc>
          <w:tcPr>
            <w:tcW w:type="dxa" w:w="3312"/>
          </w:tcPr>
          <w:p>
            <w:r>
              <w:rPr>
                <w:b/>
                <w:color w:val="6D28A6"/>
                <w:sz w:val="18"/>
              </w:rPr>
              <w:t>Horodatage</w:t>
            </w:r>
          </w:p>
        </w:tc>
        <w:tc>
          <w:tcPr>
            <w:tcW w:type="dxa" w:w="3312"/>
          </w:tcPr>
          <w:p>
            <w:r>
              <w:rPr>
                <w:b/>
                <w:color w:val="6D28A6"/>
                <w:sz w:val="18"/>
              </w:rPr>
              <w:t>Intervenant</w:t>
            </w:r>
          </w:p>
        </w:tc>
        <w:tc>
          <w:tcPr>
            <w:tcW w:type="dxa" w:w="3312"/>
          </w:tcPr>
          <w:p>
            <w:r>
              <w:rPr>
                <w:b/>
                <w:color w:val="6D28A6"/>
                <w:sz w:val="18"/>
              </w:rPr>
              <w:t>Message &amp; Ressource</w:t>
            </w:r>
          </w:p>
        </w:tc>
      </w:tr>
      <w:tr>
        <w:tc>
          <w:tcPr>
            <w:tcW w:type="dxa" w:w="3312"/>
          </w:tcPr>
          <w:p>
            <w:r>
              <w:rPr>
                <w:sz w:val="17"/>
              </w:rPr>
              <w:t>00:46:53</w:t>
            </w:r>
          </w:p>
        </w:tc>
        <w:tc>
          <w:tcPr>
            <w:tcW w:type="dxa" w:w="3312"/>
          </w:tcPr>
          <w:p>
            <w:r>
              <w:rPr>
                <w:b/>
                <w:sz w:val="17"/>
              </w:rPr>
              <w:t>Alain Valero</w:t>
            </w:r>
          </w:p>
        </w:tc>
        <w:tc>
          <w:tcPr>
            <w:tcW w:type="dxa" w:w="3312"/>
          </w:tcPr>
          <w:p>
            <w:r>
              <w:rPr>
                <w:sz w:val="17"/>
              </w:rPr>
              <w:t>Hello tout le monde, bienvenue pour cette session charnière !</w:t>
            </w:r>
          </w:p>
        </w:tc>
      </w:tr>
      <w:tr>
        <w:tc>
          <w:tcPr>
            <w:tcW w:type="dxa" w:w="3312"/>
          </w:tcPr>
          <w:p>
            <w:r>
              <w:rPr>
                <w:sz w:val="17"/>
              </w:rPr>
              <w:t>00:56:39</w:t>
            </w:r>
          </w:p>
        </w:tc>
        <w:tc>
          <w:tcPr>
            <w:tcW w:type="dxa" w:w="3312"/>
          </w:tcPr>
          <w:p>
            <w:r>
              <w:rPr>
                <w:b/>
                <w:sz w:val="17"/>
              </w:rPr>
              <w:t>Milène PAUL</w:t>
            </w:r>
          </w:p>
        </w:tc>
        <w:tc>
          <w:tcPr>
            <w:tcW w:type="dxa" w:w="3312"/>
          </w:tcPr>
          <w:p>
            <w:r>
              <w:rPr>
                <w:sz w:val="17"/>
              </w:rPr>
              <w:t>Prompt : Fais un roast positif sur tout ce que tu sais de moi.</w:t>
            </w:r>
          </w:p>
        </w:tc>
      </w:tr>
      <w:tr>
        <w:tc>
          <w:tcPr>
            <w:tcW w:type="dxa" w:w="3312"/>
          </w:tcPr>
          <w:p>
            <w:r>
              <w:rPr>
                <w:sz w:val="17"/>
              </w:rPr>
              <w:t>01:18:19</w:t>
            </w:r>
          </w:p>
        </w:tc>
        <w:tc>
          <w:tcPr>
            <w:tcW w:type="dxa" w:w="3312"/>
          </w:tcPr>
          <w:p>
            <w:r>
              <w:rPr>
                <w:b/>
                <w:sz w:val="17"/>
              </w:rPr>
              <w:t>Pierre Lacombe</w:t>
            </w:r>
          </w:p>
        </w:tc>
        <w:tc>
          <w:tcPr>
            <w:tcW w:type="dxa" w:w="3312"/>
          </w:tcPr>
          <w:p>
            <w:r>
              <w:rPr>
                <w:sz w:val="17"/>
              </w:rPr>
              <w:t>Ressource : https://getdesign.md/ pour générer vos chartes graphiques en Markdown léger.</w:t>
            </w:r>
          </w:p>
        </w:tc>
      </w:tr>
    </w:tbl>
    <w:p>
      <w:pPr>
        <w:spacing w:after="160"/>
      </w:pPr>
    </w:p>
    <w:p>
      <w:pPr>
        <w:pStyle w:val="Heading1"/>
      </w:pPr>
      <w:r>
        <w:rPr>
          <w:color w:val="6D28A6"/>
          <w:sz w:val="28"/>
        </w:rPr>
        <w:t>6. Checklist d'Action Stagiaire (Livrables pour le Journal de Bord)</w:t>
      </w:r>
    </w:p>
    <w:p>
      <w:pPr>
        <w:pStyle w:val="ListBullet"/>
      </w:pPr>
      <w:r>
        <w:rPr>
          <w:sz w:val="19"/>
        </w:rPr>
        <w:t>Exécuter le prompt du Roast sur son profil Claude ou ChatGPT</w:t>
      </w:r>
    </w:p>
    <w:p>
      <w:pPr>
        <w:pStyle w:val="ListBullet"/>
      </w:pPr>
      <w:r>
        <w:rPr>
          <w:sz w:val="19"/>
        </w:rPr>
        <w:t>Extraire son guide de style en 10 règles éditoriales pour son entreprise</w:t>
      </w:r>
    </w:p>
    <w:p>
      <w:pPr>
        <w:pStyle w:val="ListBullet"/>
      </w:pPr>
      <w:r>
        <w:rPr>
          <w:sz w:val="19"/>
        </w:rPr>
        <w:t>Générer sa charte graphique en Markdown pur via getdesign.md</w:t>
      </w:r>
    </w:p>
    <w:p>
      <w:pPr>
        <w:pStyle w:val="ListBullet"/>
      </w:pPr>
      <w:r>
        <w:rPr>
          <w:sz w:val="19"/>
        </w:rPr>
        <w:t>Vérifier que ses tables de données Baserow sont exportables en CSV/JSON propre</w:t>
      </w:r>
    </w:p>
    <w:p>
      <w:pPr>
        <w:pStyle w:val="ListBullet"/>
      </w:pPr>
      <w:r>
        <w:rPr>
          <w:sz w:val="19"/>
        </w:rPr>
        <w:t>Créer au moins un élément graphique en SVG généré par l'IA</w:t>
      </w:r>
    </w:p>
    <w:p>
      <w:pPr>
        <w:jc w:val="right"/>
      </w:pPr>
      <w:r>
        <w:rPr>
          <w:i/>
          <w:color w:val="8C88A6"/>
          <w:sz w:val="16"/>
        </w:rPr>
        <w:br/>
        <w:t>Document Pédagogique Officiel — OIDANEOS Live-to-Asset © 2026</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