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left"/>
      </w:pPr>
      <w:r>
        <w:rPr>
          <w:rFonts w:ascii="Roboto Flex" w:cs="Roboto Flex" w:eastAsia="Roboto Flex" w:hAnsi="Roboto Flex"/>
          <w:b/>
          <w:bCs/>
          <w:color w:val="262F27"/>
          <w:sz w:val="48"/>
          <w:szCs w:val="48"/>
        </w:rPr>
        <w:t xml:space="preserve">OIKION</w:t>
      </w:r>
    </w:p>
    <w:p>
      <w:pPr>
        <w:spacing w:after="200" w:before="40"/>
      </w:pPr>
      <w:r>
        <w:rPr>
          <w:rFonts w:ascii="Manrope" w:cs="Manrope" w:eastAsia="Manrope" w:hAnsi="Manrope"/>
          <w:i/>
          <w:iCs/>
          <w:color w:val="7B8C7C"/>
          <w:sz w:val="22"/>
          <w:szCs w:val="22"/>
        </w:rPr>
        <w:t xml:space="preserve">oikion.com</w:t>
      </w:r>
    </w:p>
    <w:p>
      <w:pPr>
        <w:spacing w:after="80" w:before="600"/>
      </w:pPr>
      <w:r>
        <w:rPr>
          <w:rFonts w:ascii="Roboto Flex" w:cs="Roboto Flex" w:eastAsia="Roboto Flex" w:hAnsi="Roboto Flex"/>
          <w:b/>
          <w:bCs/>
          <w:color w:val="262F27"/>
          <w:sz w:val="36"/>
          <w:szCs w:val="36"/>
        </w:rPr>
        <w:t xml:space="preserve">ENTITY ARCHITECTURE SPECIFICATION</w:t>
      </w:r>
    </w:p>
    <w:p>
      <w:pPr>
        <w:spacing w:after="400"/>
      </w:pPr>
      <w:r>
        <w:rPr>
          <w:rFonts w:ascii="Manrope" w:cs="Manrope" w:eastAsia="Manrope" w:hAnsi="Manrope"/>
          <w:i/>
          <w:iCs/>
          <w:color w:val="7B8C7C"/>
          <w:sz w:val="20"/>
          <w:szCs w:val="20"/>
        </w:rPr>
        <w:t xml:space="preserve">Contacts · Properties · Requests · Deals · Events · Documents · Showings ·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
            </w:r>
          </w:p>
        </w:tc>
        <w:tc>
          <w:tcPr>
            <w:tcW w:type="dxa" w:w="66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Version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v2.0 — Revised Architecture</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Date</w:t>
            </w:r>
          </w:p>
        </w:tc>
        <w:tc>
          <w:tcPr>
            <w:tcW w:type="dxa" w:w="6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April 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For Developer Implementation</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Prepared by</w:t>
            </w:r>
          </w:p>
        </w:tc>
        <w:tc>
          <w:tcPr>
            <w:tcW w:type="dxa" w:w="6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Oikion Product Lead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Scope</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Core entity redesign — all modules</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Supersedes</w:t>
            </w:r>
          </w:p>
        </w:tc>
        <w:tc>
          <w:tcPr>
            <w:tcW w:type="dxa" w:w="6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v1.0 (Initial Release)</w:t>
            </w:r>
          </w:p>
        </w:tc>
      </w:tr>
    </w:tbl>
    <w:p>
      <w:r>
        <w:br w:type="page"/>
      </w:r>
    </w:p>
    <w:p>
      <w:pPr>
        <w:spacing w:after="80" w:before="400"/>
      </w:pPr>
      <w:r>
        <w:rPr>
          <w:rFonts w:ascii="Roboto Flex" w:cs="Roboto Flex" w:eastAsia="Roboto Flex" w:hAnsi="Roboto Flex"/>
          <w:color w:val="7B8C7C"/>
          <w:spacing w:val="120"/>
          <w:sz w:val="18"/>
          <w:szCs w:val="18"/>
        </w:rPr>
        <w:t xml:space="preserve">01 — PURPOSE &amp; CONTEXT</w:t>
      </w:r>
    </w:p>
    <w:p>
      <w:pPr>
        <w:pStyle w:val="Heading1"/>
        <w:spacing w:after="200" w:before="360"/>
      </w:pPr>
      <w:r>
        <w:rPr>
          <w:rFonts w:ascii="Roboto Flex" w:cs="Roboto Flex" w:eastAsia="Roboto Flex" w:hAnsi="Roboto Flex"/>
          <w:b/>
          <w:bCs/>
          <w:color w:val="262F27"/>
          <w:sz w:val="28"/>
          <w:szCs w:val="28"/>
        </w:rPr>
        <w:t xml:space="preserve">1. Purpose &amp; Context</w:t>
      </w:r>
    </w:p>
    <w:p>
      <w:pPr>
        <w:spacing w:after="120" w:before="120"/>
      </w:pPr>
      <w:r>
        <w:rPr>
          <w:rFonts w:ascii="Manrope" w:cs="Manrope" w:eastAsia="Manrope" w:hAnsi="Manrope"/>
          <w:sz w:val="20"/>
          <w:szCs w:val="20"/>
        </w:rPr>
        <w:t xml:space="preserve">This document defines the revised entity architecture for the Oikion platform. It supersedes the original three-entity model (Properties, Clients, Mandates) and reflects both market research across six real estate management systems (three international, three Greek) and direct feedback from active real estate agents.</w:t>
      </w:r>
    </w:p>
    <w:p>
      <w:pPr>
        <w:spacing w:after="120" w:before="120"/>
      </w:pPr>
      <w:r>
        <w:rPr>
          <w:rFonts w:ascii="Manrope" w:cs="Manrope" w:eastAsia="Manrope" w:hAnsi="Manrope"/>
          <w:sz w:val="20"/>
          <w:szCs w:val="20"/>
        </w:rPr>
        <w:t xml:space="preserve">Version 2.0 incorporates cross-spec alignment with the Maps &amp; Location Module specification, ensuring spatial data model consistency between entity definitions and the PostGIS/Photon location infrastructure.</w:t>
      </w:r>
    </w:p>
    <w:p>
      <w:pPr>
        <w:pStyle w:val="Heading2"/>
        <w:spacing w:after="160" w:before="280"/>
      </w:pPr>
      <w:r>
        <w:rPr>
          <w:rFonts w:ascii="Roboto Flex" w:cs="Roboto Flex" w:eastAsia="Roboto Flex" w:hAnsi="Roboto Flex"/>
          <w:b/>
          <w:bCs/>
          <w:color w:val="262F27"/>
          <w:sz w:val="24"/>
          <w:szCs w:val="24"/>
        </w:rPr>
        <w:t xml:space="preserve">1.1 Migration Summary</w:t>
      </w:r>
    </w:p>
    <w:p>
      <w:pPr>
        <w:spacing w:after="120" w:before="120"/>
      </w:pPr>
      <w:r>
        <w:rPr>
          <w:rFonts w:ascii="Manrope" w:cs="Manrope" w:eastAsia="Manrope" w:hAnsi="Manrope"/>
          <w:sz w:val="20"/>
          <w:szCs w:val="20"/>
        </w:rPr>
        <w:t xml:space="preserve">The following table shows what changes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Previous Entity</w:t>
            </w:r>
          </w:p>
        </w:tc>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New Entity / Treatment</w:t>
            </w:r>
          </w:p>
        </w:tc>
        <w:tc>
          <w:tcPr>
            <w:tcW w:type="dxa" w:w="50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Clients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Contacts (with Category)</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Agents treat contacts as a phone book, not client-specific storage. A contact can be owner, buyer, lawyer, partner, or colleague across different transactions.</w:t>
            </w:r>
          </w:p>
        </w:tc>
      </w:tr>
      <w:tr>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Mandates (standalone entity)</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Mandate fields on Property record</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mandate is an agreement tied to a specific property. It does not need its own entity; mandate type, expiry, and commission live on the Property.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Requests (new entity)</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demand-side brief — what a buyer or tenant is looking for — is a first-class entity in every major platform reviewed (Propertybase, Apimo, aBroker, ilist). It feeds matchmaking directly.</w:t>
            </w:r>
          </w:p>
        </w:tc>
      </w:tr>
      <w:tr>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(missing)</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Deals</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transaction lifecycle from offer through notarial signing and land registry registration is a distinct workflow requiring its own pipeline, fields, and document links.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Showings (Υποδείξεις)</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Explicitly named in all three Greek systems reviewed. A showing is a structured outcome record linking a Request, a Property, an agent, and buyer feedback.</w:t>
            </w:r>
          </w:p>
        </w:tc>
      </w:tr>
      <w:tr>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(missing)</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Activities / Task Log</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lightweight audit and interaction log (calls, messages, notes, tasks) linked polymorphically to any entity.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Calendar Events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Calendar Events (typed)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Retained but typed — different event types (showing, signing, open house, etc.) expose different contextual fields.</w:t>
            </w:r>
          </w:p>
        </w:tc>
      </w:tr>
      <w:tr>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Documents &amp; Templates</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 Records + Document Templates</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Split into two conceptually distinct entities: instance documents (files attached to entities) and reusable templates with variable placeholders and version tracking.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Join Tables &amp; Relationship Entities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v2.0 introduces explicit join tables for: PropertyCoOwner, DealParty, DealStageLog, PriceChange, PropertyRequestMatch, ShowingAttendee, ContactRelationship, CalendarEventAgent, CalendarEventContact. These replace array FK fields and JSON arrays for referential integrity and queryability.</w:t>
            </w:r>
          </w:p>
        </w:tc>
      </w:tr>
    </w:tbl>
    <w:p>
      <w:pPr>
        <w:pStyle w:val="Heading2"/>
        <w:spacing w:after="160" w:before="280"/>
      </w:pPr>
      <w:r>
        <w:rPr>
          <w:rFonts w:ascii="Roboto Flex" w:cs="Roboto Flex" w:eastAsia="Roboto Flex" w:hAnsi="Roboto Flex"/>
          <w:b/>
          <w:bCs/>
          <w:color w:val="262F27"/>
          <w:sz w:val="24"/>
          <w:szCs w:val="24"/>
        </w:rPr>
        <w:t xml:space="preserve">1.2 How to Use This Document</w:t>
      </w:r>
    </w:p>
    <w:p>
      <w:pPr>
        <w:spacing w:after="120" w:before="120"/>
      </w:pPr>
      <w:r>
        <w:rPr>
          <w:rFonts w:ascii="Manrope" w:cs="Manrope" w:eastAsia="Manrope" w:hAnsi="Manrope"/>
          <w:sz w:val="20"/>
          <w:szCs w:val="20"/>
        </w:rPr>
        <w:t xml:space="preserve">Each entity section covers: its purpose in the Greek real estate workflow, a core field table (fields required for V1), an extended field table (fields to consider for V2 or optional V1), key relationships, and implementation notes. Implementation notes flag best practices and considerations — they are advisory, not prescriptive. The developer has full context of the codebase and should use these notes as directional input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Greek-specific terminology is flagged inline (e.g. KAEK, ΦΜΑ, ΠΕΑ). These are legally meaningful identifiers in Greek real estate transactions and should be stored as structured fields, not buried in free-text notes.</w:t>
            </w:r>
          </w:p>
        </w:tc>
      </w:tr>
    </w:tbl>
    <w:p>
      <w:r>
        <w:br w:type="page"/>
      </w:r>
    </w:p>
    <w:p>
      <w:pPr>
        <w:spacing w:after="80" w:before="400"/>
      </w:pPr>
      <w:r>
        <w:rPr>
          <w:rFonts w:ascii="Roboto Flex" w:cs="Roboto Flex" w:eastAsia="Roboto Flex" w:hAnsi="Roboto Flex"/>
          <w:color w:val="7B8C7C"/>
          <w:spacing w:val="120"/>
          <w:sz w:val="18"/>
          <w:szCs w:val="18"/>
        </w:rPr>
        <w:t xml:space="preserve">02 — ENTITY RELATIONSHIPS</w:t>
      </w:r>
    </w:p>
    <w:p>
      <w:pPr>
        <w:pStyle w:val="Heading1"/>
        <w:spacing w:after="200" w:before="360"/>
      </w:pPr>
      <w:r>
        <w:rPr>
          <w:rFonts w:ascii="Roboto Flex" w:cs="Roboto Flex" w:eastAsia="Roboto Flex" w:hAnsi="Roboto Flex"/>
          <w:b/>
          <w:bCs/>
          <w:color w:val="262F27"/>
          <w:sz w:val="28"/>
          <w:szCs w:val="28"/>
        </w:rPr>
        <w:t xml:space="preserve">2. Entity Relationship Overview</w:t>
      </w:r>
    </w:p>
    <w:p>
      <w:pPr>
        <w:spacing w:after="120" w:before="120"/>
      </w:pPr>
      <w:r>
        <w:rPr>
          <w:rFonts w:ascii="Manrope" w:cs="Manrope" w:eastAsia="Manrope" w:hAnsi="Manrope"/>
          <w:sz w:val="20"/>
          <w:szCs w:val="20"/>
        </w:rPr>
        <w:t xml:space="preserve">The following table summarises the primary relationships between all entities. Detailed per-entity relationships are covered in each entity section. Join tables are defined in Section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226"/>
      </w:tblGrid>
      <w:tr>
        <w:trPr>
          <w:tblHeader/>
        </w:trPr>
        <w:tc>
          <w:tcPr>
            <w:tcW w:type="dxa" w:w="16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From Entity</w:t>
            </w:r>
          </w:p>
        </w:tc>
        <w:tc>
          <w:tcPr>
            <w:tcW w:type="dxa" w:w="16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To Entity</w:t>
            </w:r>
          </w:p>
        </w:tc>
        <w:tc>
          <w:tcPr>
            <w:tcW w:type="dxa" w:w="16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Cardinality</w:t>
            </w:r>
          </w:p>
        </w:tc>
        <w:tc>
          <w:tcPr>
            <w:tcW w:type="dxa" w:w="42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contact can have multiple active demand briefs</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PropertyCoOwner join table. Primary owner denormalized as ownerId on Property.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DealParty join table. Contacts participate as Buyer, Seller, CoBuyer, CoSeller, LegalRepresentative, or Guarantor.</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ContactRelationship join table. Spouse, CoBuyer, CoOwner, Employer, LegalRepresentative, etc.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PropertyRequestMatch join table. Matchmaking results with score, status, and dismissal tracking.</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property can appear in multiple deals (e.g. if a deal falls through)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 Record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Documents are polymorphically attached to properties</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PriceChange</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Audit log of asking price changes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showing is triggered by a specific request</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Request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Optional direct link from demand brief to resulting deal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Multiple showings can occur for one property</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Showings that led to a deal are linkable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DealStageLog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Audit log of all pipeline stage transitions</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 Record</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Deal-stage documents attach to the deal entity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 Record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Contact-level docs (ID, ΑΦΜ, POA) attach to the contact</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ShowingAttendee join table. Multiple attendees per showing with roles.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Calendar Event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CalendarEventAgent join table</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Calendar Event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Many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Via CalendarEventContact join table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Any Entity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Activity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Activities are polymorphically linked to any parent entity. Cross-entity references via optional secondary FKs.</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Any Entity</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Calendar Event</w:t>
            </w:r>
          </w:p>
        </w:tc>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One → Many</w:t>
            </w:r>
          </w:p>
        </w:tc>
        <w:tc>
          <w:tcPr>
            <w:tcW w:type="dxa" w:w="4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Events link to contacts, properties, and/or deals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 Template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 Record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Template → Instance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template can be instantiated into a document record. Version tracked.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REFERENCED ENTITIES</w:t>
            </w:r>
          </w:p>
          <w:p>
            <w:pPr>
              <w:spacing w:before="0"/>
            </w:pPr>
            <w:r>
              <w:rPr>
                <w:rFonts w:ascii="Manrope" w:cs="Manrope" w:eastAsia="Manrope" w:hAnsi="Manrope"/>
                <w:color w:val="333333"/>
                <w:sz w:val="19"/>
                <w:szCs w:val="19"/>
              </w:rPr>
              <w:t xml:space="preserve">Two entities are referenced throughout this spec but are not defined here because they are managed by existing infrastructure: (1) Organization — the multi-tenant agency record, already modelled in the platform. Every entity FK to organizationId references this. (2) User / Agent — the authenticated team member, managed by Clerk. All assignedAgentId, userId, and createdByUserId fields reference Clerk user records.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BEST PRACTICE</w:t>
            </w:r>
          </w:p>
          <w:p>
            <w:pPr>
              <w:spacing w:before="0"/>
            </w:pPr>
            <w:r>
              <w:rPr>
                <w:rFonts w:ascii="Manrope" w:cs="Manrope" w:eastAsia="Manrope" w:hAnsi="Manrope"/>
                <w:color w:val="333333"/>
                <w:sz w:val="19"/>
                <w:szCs w:val="19"/>
              </w:rPr>
              <w:t xml:space="preserve">Polymorphic relationships (Activity, Document Record, Calendar Event to "any entity") can be implemented via a nullable foreign key per parent entity type, or via a generic parent_type / parent_id approach. Both patterns are valid — the choice depends on how query patterns are structured in the existing codebase. Index on parent_type + parent_id if using the generic approach.</w:t>
            </w:r>
          </w:p>
        </w:tc>
      </w:tr>
    </w:tbl>
    <w:p>
      <w:r>
        <w:br w:type="page"/>
      </w:r>
    </w:p>
    <w:p>
      <w:pPr>
        <w:spacing w:after="80" w:before="400"/>
      </w:pPr>
      <w:r>
        <w:rPr>
          <w:rFonts w:ascii="Roboto Flex" w:cs="Roboto Flex" w:eastAsia="Roboto Flex" w:hAnsi="Roboto Flex"/>
          <w:color w:val="7B8C7C"/>
          <w:spacing w:val="120"/>
          <w:sz w:val="18"/>
          <w:szCs w:val="18"/>
        </w:rPr>
        <w:t xml:space="preserve">03 — CONTACTS</w:t>
      </w:r>
    </w:p>
    <w:p>
      <w:pPr>
        <w:pStyle w:val="Heading1"/>
        <w:spacing w:after="200" w:before="360"/>
      </w:pPr>
      <w:r>
        <w:rPr>
          <w:rFonts w:ascii="Roboto Flex" w:cs="Roboto Flex" w:eastAsia="Roboto Flex" w:hAnsi="Roboto Flex"/>
          <w:b/>
          <w:bCs/>
          <w:color w:val="262F27"/>
          <w:sz w:val="28"/>
          <w:szCs w:val="28"/>
        </w:rPr>
        <w:t xml:space="preserve">3. Entity: Contacts</w:t>
      </w:r>
    </w:p>
    <w:p>
      <w:pPr>
        <w:spacing w:after="120" w:before="120"/>
      </w:pPr>
      <w:r>
        <w:rPr>
          <w:rFonts w:ascii="Manrope" w:cs="Manrope" w:eastAsia="Manrope" w:hAnsi="Manrope"/>
          <w:sz w:val="20"/>
          <w:szCs w:val="20"/>
        </w:rPr>
        <w:t xml:space="preserve">Contacts is the phonebook-style master record for every person or organisation an agency interacts with. A single contact can play multiple roles across different transactions (owner in one deal, referrer in another, co-buyer in a third). Role specificity is handled via the Category field and relationship links, not by duplicating the record.</w:t>
      </w:r>
    </w:p>
    <w:p>
      <w:pPr>
        <w:spacing w:after="120" w:before="120"/>
      </w:pPr>
      <w:r>
        <w:rPr>
          <w:rFonts w:ascii="Manrope" w:cs="Manrope" w:eastAsia="Manrope" w:hAnsi="Manrope"/>
          <w:sz w:val="20"/>
          <w:szCs w:val="20"/>
        </w:rPr>
        <w:t xml:space="preserve">Market evidence: Propertybase treats Contact as the master object with Individual and Company sub-types. Apimo, aBroker, ilist, and Real Status all use a unified contacts entity with role categorisation.</w:t>
      </w:r>
    </w:p>
    <w:p>
      <w:pPr>
        <w:pStyle w:val="Heading2"/>
        <w:spacing w:after="160" w:before="280"/>
      </w:pPr>
      <w:r>
        <w:rPr>
          <w:rFonts w:ascii="Roboto Flex" w:cs="Roboto Flex" w:eastAsia="Roboto Flex" w:hAnsi="Roboto Flex"/>
          <w:b/>
          <w:bCs/>
          <w:color w:val="262F27"/>
          <w:sz w:val="24"/>
          <w:szCs w:val="24"/>
        </w:rPr>
        <w:t xml:space="preserve">3.1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4526"/>
      </w:tblGrid>
      <w:tr>
        <w:trPr>
          <w:tblHeader/>
        </w:trPr>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 Prefer CUID2 or UUID v7 for sortability.</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Organization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Multi-tenancy isolation. Every query should be scoped to this.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firstName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Individual contacts.</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lastName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Individual contacts.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displayName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Auto-generated from firstName + lastName; can be overridden for companies.</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category</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Multi-select: Owner | Buyer | Tenant | Seller | Colleague | Notary | Lawyer | Accountant | Other. A contact can hold multiple roles simultaneously.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primaryPhone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Store E.164 format (+30...). At least one contact method required.</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email</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Not unique at the DB level. Duplicate detection is handled as a soft UI warning (see Section 13.9). At least one of email or phone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source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PortalLead | Referral | WalkIn | ColdCall | SocialMedia | Other.</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Active | Passive | Inactive | Archived. Archived = soft delete visible to admins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gdprConsentGiven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GDPR Article 6 compliance. Must be true before storing personal data for marketing.</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gdprConsentDate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Timestamp of consent. Required when gdprConsentGiven = true.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assignedAgentId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agent responsible for this contact.</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languagePreference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EL | EN | RU | DE | FR | Other. Relevant for multilingual comms and Golden Visa clients.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Freeform internal notes.</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isCompany</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Switches display to company name instead of first/last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companyName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Required if isCompany = true.</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Server-generated.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Server-generated.</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 timestamp. Null = active record. Subject to deletion protection rules (Section 13.6).</w:t>
            </w:r>
          </w:p>
        </w:tc>
      </w:tr>
    </w:tbl>
    <w:p>
      <w:pPr>
        <w:pStyle w:val="Heading2"/>
        <w:spacing w:after="160" w:before="280"/>
      </w:pPr>
      <w:r>
        <w:rPr>
          <w:rFonts w:ascii="Roboto Flex" w:cs="Roboto Flex" w:eastAsia="Roboto Flex" w:hAnsi="Roboto Flex"/>
          <w:b/>
          <w:bCs/>
          <w:color w:val="262F27"/>
          <w:sz w:val="24"/>
          <w:szCs w:val="24"/>
        </w:rPr>
        <w:t xml:space="preserve">3.2 Extended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4526"/>
      </w:tblGrid>
      <w:tr>
        <w:trPr>
          <w:tblHeader/>
        </w:trPr>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Contact Details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secondaryPhone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Secondary phone number (landline, office).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whatsapp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WhatsApp number (may differ from primary phone in Greece).</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viber</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Viber number. Viber is widely used in the Greek market.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address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JSON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street, city, postalCode, municipality.</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nationality</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ISO 3166-1 alpha-2. Relevant for Golden Visa, POA requirements.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taxId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Greek ΑΦΜ. Consider AES-256-GCM encryption — see security note.</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dateOfBirth</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Used for ID verification in some transaction documents.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profession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Free text.</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CRM &amp; Workflow</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tags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Free-form tags for filtering.</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leadScore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Agent-assigned priority 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doNotContact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If true, suppress all outbound comms.</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lastContactedAt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Updated by Activity log.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nextFollowUpAt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Agent-set reminder date.</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referredById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Self-referential. Who referred this contact.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Relations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(see Section 12)</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ContactRelationship</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N/A</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Spouse, co-buyer, co-owner, legal representative links are managed via the ContactRelationship join table. Replaces the v1.0 relatedContactIds array.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FF3E0"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SECURITY</w:t>
            </w:r>
          </w:p>
          <w:p>
            <w:pPr>
              <w:spacing w:before="0"/>
            </w:pPr>
            <w:r>
              <w:rPr>
                <w:rFonts w:ascii="Manrope" w:cs="Manrope" w:eastAsia="Manrope" w:hAnsi="Manrope"/>
                <w:color w:val="333333"/>
                <w:sz w:val="19"/>
                <w:szCs w:val="19"/>
              </w:rPr>
              <w:t xml:space="preserve">The ΑΦΜ (Tax ID) is a sensitive personal identifier. Consider AES-256-GCM application-level encryption for this field. Store an unencrypted lookup-safe hash if you need to query by ΑΦΜ. This was flagged as a pre-launch security recommendation.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E8F5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GDPR</w:t>
            </w:r>
          </w:p>
          <w:p>
            <w:pPr>
              <w:spacing w:before="0"/>
            </w:pPr>
            <w:r>
              <w:rPr>
                <w:rFonts w:ascii="Manrope" w:cs="Manrope" w:eastAsia="Manrope" w:hAnsi="Manrope"/>
                <w:color w:val="333333"/>
                <w:sz w:val="19"/>
                <w:szCs w:val="19"/>
              </w:rPr>
              <w:t xml:space="preserve">The gdprConsentGiven + gdprConsentDate pair is mandatory for GDPR Article 6 compliance. The platform's sub-processor annex (Tester Agreement Annex A) already commits to this. Do not allow marketing operations (bulk email, alerts) to target contacts where gdprConsentGiven = false.</w:t>
            </w:r>
          </w:p>
        </w:tc>
      </w:tr>
    </w:tbl>
    <w:p>
      <w:r>
        <w:br w:type="page"/>
      </w:r>
    </w:p>
    <w:p>
      <w:pPr>
        <w:spacing w:after="80" w:before="400"/>
      </w:pPr>
      <w:r>
        <w:rPr>
          <w:rFonts w:ascii="Roboto Flex" w:cs="Roboto Flex" w:eastAsia="Roboto Flex" w:hAnsi="Roboto Flex"/>
          <w:color w:val="7B8C7C"/>
          <w:spacing w:val="120"/>
          <w:sz w:val="18"/>
          <w:szCs w:val="18"/>
        </w:rPr>
        <w:t xml:space="preserve">04 — PROPERTIES</w:t>
      </w:r>
    </w:p>
    <w:p>
      <w:pPr>
        <w:pStyle w:val="Heading1"/>
        <w:spacing w:after="200" w:before="360"/>
      </w:pPr>
      <w:r>
        <w:rPr>
          <w:rFonts w:ascii="Roboto Flex" w:cs="Roboto Flex" w:eastAsia="Roboto Flex" w:hAnsi="Roboto Flex"/>
          <w:b/>
          <w:bCs/>
          <w:color w:val="262F27"/>
          <w:sz w:val="28"/>
          <w:szCs w:val="28"/>
        </w:rPr>
        <w:t xml:space="preserve">4. Entity: Properties</w:t>
      </w:r>
    </w:p>
    <w:p>
      <w:pPr>
        <w:spacing w:after="120" w:before="120"/>
      </w:pPr>
      <w:r>
        <w:rPr>
          <w:rFonts w:ascii="Manrope" w:cs="Manrope" w:eastAsia="Manrope" w:hAnsi="Manrope"/>
          <w:sz w:val="20"/>
          <w:szCs w:val="20"/>
        </w:rPr>
        <w:t xml:space="preserve">Properties is the supply-side master record. It represents a physical real estate asset that an agency is managing (selling, renting, or both). Mandate data — the agreement between the agency and the owner — lives on the Property record rather than as a standalone entity, as a mandate is always property-specific.</w:t>
      </w:r>
    </w:p>
    <w:p>
      <w:pPr>
        <w:spacing w:after="120" w:before="120"/>
      </w:pPr>
      <w:r>
        <w:rPr>
          <w:rFonts w:ascii="Manrope" w:cs="Manrope" w:eastAsia="Manrope" w:hAnsi="Manrope"/>
          <w:sz w:val="20"/>
          <w:szCs w:val="20"/>
        </w:rPr>
        <w:t xml:space="preserve">Greek context: Since January 2024, the Greek Digital Property File (Ηλεκτρονικός Φάκελος Ακινήτου) links property data to KAEK (cadastre code), ΠΕΑ (energy certificate), and myProperty (AADE tax platform). These are not accessible via a public API — they are stored as structured reference fields populated manually or by the agent.</w:t>
      </w:r>
    </w:p>
    <w:p>
      <w:pPr>
        <w:spacing w:after="120" w:before="120"/>
      </w:pPr>
      <w:r>
        <w:rPr>
          <w:rFonts w:ascii="Manrope" w:cs="Manrope" w:eastAsia="Manrope" w:hAnsi="Manrope"/>
          <w:sz w:val="20"/>
          <w:szCs w:val="20"/>
        </w:rPr>
        <w:t xml:space="preserve">Spatial data: Property location fields (latitude, longitude, PostGIS geography column, formattedAddress, city, area, postalCode) are defined in the Maps &amp; Location Module specification. The sync trigger and GiST index are created via manual Prisma migration as specified there.</w:t>
      </w:r>
    </w:p>
    <w:p>
      <w:pPr>
        <w:pStyle w:val="Heading2"/>
        <w:spacing w:after="160" w:before="280"/>
      </w:pPr>
      <w:r>
        <w:rPr>
          <w:rFonts w:ascii="Roboto Flex" w:cs="Roboto Flex" w:eastAsia="Roboto Flex" w:hAnsi="Roboto Flex"/>
          <w:b/>
          <w:bCs/>
          <w:color w:val="262F27"/>
          <w:sz w:val="24"/>
          <w:szCs w:val="24"/>
        </w:rPr>
        <w:t xml:space="preserve">4.1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4526"/>
      </w:tblGrid>
      <w:tr>
        <w:trPr>
          <w:tblHeader/>
        </w:trPr>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Organization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Multi-tenancy scope.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referenceCode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Auto-generated internal code (e.g. OIK-2024-00142). Unique per org.</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type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Apartment | House | Villa | Office | Land | Warehouse | Hotel | Other.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transactionType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Sale | Rent | Both | Auction. "Both" allows dual listing.</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Draft | Active | UnderOffer | Sold | Rented | Withdrawn | Archived. See Section 4.3 for status vs. publicationStatus distinction.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ownerId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owner / mandate signatory. This contact also appears in the PropertyCoOwner join table with their ownership share. For sole owners, they are the only entry. See Section 12.2.</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assignedAgentId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Listing agent.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addressLine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Street and number.</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area</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Neighbourhood / district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municipality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Δήμος.</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prefecture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Νομός / Περιφερειακή Ενότητα.</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Latitude. Set via Photon geocoding / Maps module.</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lng</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Longitude. Set via Photon geocoding / Maps module.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surfaceArea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Living area in sq m.</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askingPrice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stored as whole euros (e.g. 150000 = €150,000). For Sale and Both: sale price. For Rent: monthly rent. See Section 13.7.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askingRent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monthly rent. Required when transactionType = Both. Null for Sale-only or Rent-only listings (where askingPrice holds the single price). Enables dual-listed properties to carry both sale and rent prices.</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bedrooms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Required for residential types.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bathrooms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Required for residential types.</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floor</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Ground = 0, Basement =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energyClass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 A | B+ | B | C | D | E | Z | H. Greek ΠΕΑ classification.</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mandateType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Exclusive | Open | None.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mandateStartDate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 mandate agreement was signed.</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mandateEndDate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Mandate expiry. Triggers Smart Alert when approaching.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commissionRate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Agency commission as % of transaction price.</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publicationStatus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Draft | Published | Unpublished. See Section 4.3.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 Subject to deletion protection rules (Section 13.6).</w:t>
            </w:r>
          </w:p>
        </w:tc>
      </w:tr>
    </w:tbl>
    <w:p>
      <w:pPr>
        <w:pStyle w:val="Heading2"/>
        <w:spacing w:after="160" w:before="280"/>
      </w:pPr>
      <w:r>
        <w:rPr>
          <w:rFonts w:ascii="Roboto Flex" w:cs="Roboto Flex" w:eastAsia="Roboto Flex" w:hAnsi="Roboto Flex"/>
          <w:b/>
          <w:bCs/>
          <w:color w:val="262F27"/>
          <w:sz w:val="24"/>
          <w:szCs w:val="24"/>
        </w:rPr>
        <w:t xml:space="preserve">4.2 Extended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6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6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Physical Attributes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plotArea</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Plot/land area in sq m. Relevant for houses and land.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totalFloors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Total floors in the building.</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constructionYear</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Year built.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renovationYear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Year of last renovation.</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orientation</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 | S | E | W | NE | NW | SE | SW.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viewType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Sea | Mountain | City | Garden | None.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heatingType</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AutonomousGas | Central | Oil | HeatPump | Electric | 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hasAC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floorType</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Marble | Tile | Hardwood | Laminate | Other.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parkingType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None | Open | Covered | Garage.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parkingSpaces</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hasStorage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storageAreaSqm</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hasElevator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gardenAreaSqm</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0 = no garden.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balconyAreaSqm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Total balcony area.</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hasFireplace</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hasPool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hasSolarPanels</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Greek Legal / Administrative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kaek</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Κωδικός Αριθμός Εθνικού Κτηματολογίου. Key identifier for Digital Property File.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buildingPermitNo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Άδεια Οικοδομής number.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buildingPermitYear</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energyCertNo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ΠΕΑ certificate number.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energyCertExpiry</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ΠΕΑ certificates expire. Trigger alert before expiry.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enfia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ΕΝΦΙΑ certificate available.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legalStatus</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Clear | PendingDispute | Coownership | InheritanceIssue | Encumbered.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Commercial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viewCount</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Aggregated from portal sync.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internalAccessNotes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Key location, showing instructions.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Portal Syndication</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portalPublications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JSON[]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Array of {portalId, publicationDate, externalId, status}. Consider promoting to a PortalPublication sub-entity if portal tracking becomes complex.</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Content</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descriptionEl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Greek description.</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descriptionEn</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English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photos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JSON[]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Array of {url, caption, order, isPrimary}. URLs in Vercel Blob.</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videoUrl</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6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Virtual tour or walkthrough URL.</w:t>
            </w:r>
          </w:p>
        </w:tc>
      </w:tr>
    </w:tbl>
    <w:p>
      <w:pPr>
        <w:pStyle w:val="Heading2"/>
        <w:spacing w:after="160" w:before="280"/>
      </w:pPr>
      <w:r>
        <w:rPr>
          <w:rFonts w:ascii="Roboto Flex" w:cs="Roboto Flex" w:eastAsia="Roboto Flex" w:hAnsi="Roboto Flex"/>
          <w:b/>
          <w:bCs/>
          <w:color w:val="262F27"/>
          <w:sz w:val="24"/>
          <w:szCs w:val="24"/>
        </w:rPr>
        <w:t xml:space="preserve">4.3 Status vs. Publication Status</w:t>
      </w:r>
    </w:p>
    <w:p>
      <w:pPr>
        <w:spacing w:after="120" w:before="120"/>
      </w:pPr>
      <w:r>
        <w:rPr>
          <w:rFonts w:ascii="Manrope" w:cs="Manrope" w:eastAsia="Manrope" w:hAnsi="Manrope"/>
          <w:sz w:val="20"/>
          <w:szCs w:val="20"/>
        </w:rPr>
        <w:t xml:space="preserve">The Property entity carries two independent status axes:</w:t>
      </w:r>
    </w:p>
    <w:p>
      <w:pPr>
        <w:spacing w:after="120" w:before="120"/>
      </w:pPr>
      <w:r>
        <w:rPr>
          <w:rFonts w:ascii="Manrope" w:cs="Manrope" w:eastAsia="Manrope" w:hAnsi="Manrope"/>
          <w:b/>
          <w:bCs/>
          <w:sz w:val="20"/>
          <w:szCs w:val="20"/>
        </w:rPr>
        <w:t xml:space="preserve">status</w:t>
      </w:r>
      <w:r>
        <w:rPr>
          <w:rFonts w:ascii="Manrope" w:cs="Manrope" w:eastAsia="Manrope" w:hAnsi="Manrope"/>
          <w:sz w:val="20"/>
          <w:szCs w:val="20"/>
        </w:rPr>
        <w:t xml:space="preserve"> reflects the business state of the property: is it available, under offer, sold, or archived? This is the property's lifecycle position.</w:t>
      </w:r>
    </w:p>
    <w:p>
      <w:pPr>
        <w:spacing w:after="120" w:before="120"/>
      </w:pPr>
      <w:r>
        <w:rPr>
          <w:rFonts w:ascii="Manrope" w:cs="Manrope" w:eastAsia="Manrope" w:hAnsi="Manrope"/>
          <w:b/>
          <w:bCs/>
          <w:sz w:val="20"/>
          <w:szCs w:val="20"/>
        </w:rPr>
        <w:t xml:space="preserve">publicationStatus</w:t>
      </w:r>
      <w:r>
        <w:rPr>
          <w:rFonts w:ascii="Manrope" w:cs="Manrope" w:eastAsia="Manrope" w:hAnsi="Manrope"/>
          <w:sz w:val="20"/>
          <w:szCs w:val="20"/>
        </w:rPr>
        <w:t xml:space="preserve"> reflects the content readiness: is the listing published to portals, still being drafted, or unpublished temporarily? A property can be status = Active (business-wise available) but publicationStatus = Draft (listing content not yet ready for portal syndication). These two fields are independent. Both having a "Draft" value is intentional and serves different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The mandateEndDate field should trigger a Smart Alert when within 14 days of expiry. This integrates with the existing Smart Alerts system already in scope.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Price history is tracked via the PriceChange table (Section 12.5). The v1.0 originalAskingPrice and priceHistory JSON fields are removed — the first PriceChange record serves as the original asking price.</w:t>
            </w:r>
          </w:p>
        </w:tc>
      </w:tr>
    </w:tbl>
    <w:p>
      <w:r>
        <w:br w:type="page"/>
      </w:r>
    </w:p>
    <w:p>
      <w:pPr>
        <w:spacing w:after="80" w:before="400"/>
      </w:pPr>
      <w:r>
        <w:rPr>
          <w:rFonts w:ascii="Roboto Flex" w:cs="Roboto Flex" w:eastAsia="Roboto Flex" w:hAnsi="Roboto Flex"/>
          <w:color w:val="7B8C7C"/>
          <w:spacing w:val="120"/>
          <w:sz w:val="18"/>
          <w:szCs w:val="18"/>
        </w:rPr>
        <w:t xml:space="preserve">05 — REQUESTS</w:t>
      </w:r>
    </w:p>
    <w:p>
      <w:pPr>
        <w:pStyle w:val="Heading1"/>
        <w:spacing w:after="200" w:before="360"/>
      </w:pPr>
      <w:r>
        <w:rPr>
          <w:rFonts w:ascii="Roboto Flex" w:cs="Roboto Flex" w:eastAsia="Roboto Flex" w:hAnsi="Roboto Flex"/>
          <w:b/>
          <w:bCs/>
          <w:color w:val="262F27"/>
          <w:sz w:val="28"/>
          <w:szCs w:val="28"/>
        </w:rPr>
        <w:t xml:space="preserve">5. Entity: Requests (Ζητήσεις)</w:t>
      </w:r>
    </w:p>
    <w:p>
      <w:pPr>
        <w:spacing w:after="120" w:before="120"/>
      </w:pPr>
      <w:r>
        <w:rPr>
          <w:rFonts w:ascii="Manrope" w:cs="Manrope" w:eastAsia="Manrope" w:hAnsi="Manrope"/>
          <w:sz w:val="20"/>
          <w:szCs w:val="20"/>
        </w:rPr>
        <w:t xml:space="preserve">Requests represent the demand side — what a contact is looking for. This is a distinct entity from Contact (who is looking) and Property (what is available). It is the direct input to the Polis matchmaking engine: a Request is matched against Properties, producing match scores via the PropertyRequestMatch join table (Section 12.4).</w:t>
      </w:r>
    </w:p>
    <w:p>
      <w:pPr>
        <w:spacing w:after="120" w:before="120"/>
      </w:pPr>
      <w:r>
        <w:rPr>
          <w:rFonts w:ascii="Manrope" w:cs="Manrope" w:eastAsia="Manrope" w:hAnsi="Manrope"/>
          <w:sz w:val="20"/>
          <w:szCs w:val="20"/>
        </w:rPr>
        <w:t xml:space="preserve">Important constraint: Requests are demand-only. A contact wishing to sell creates a Property record (pre-mandate status), not a Request. A contact wishing to buy at auction uses a standard Buy Request with an auction-interest flag, not a new Request type.</w:t>
      </w:r>
    </w:p>
    <w:p>
      <w:pPr>
        <w:spacing w:after="120" w:before="120"/>
      </w:pPr>
      <w:r>
        <w:rPr>
          <w:rFonts w:ascii="Manrope" w:cs="Manrope" w:eastAsia="Manrope" w:hAnsi="Manrope"/>
          <w:sz w:val="20"/>
          <w:szCs w:val="20"/>
        </w:rPr>
        <w:t xml:space="preserve">Location handling: Request location is defined by spatial fields (centerLatitude, centerLongitude, radiusKm, searchArea polygon) as specified in the Maps &amp; Location Module. These replace the v1.0 locations String[] field. Polis matches using PostGIS ST_Intersects (polygon) or ST_DWithin (radius), with location as a weighted factor rather than a hard filter.</w:t>
      </w:r>
    </w:p>
    <w:p>
      <w:pPr>
        <w:pStyle w:val="Heading2"/>
        <w:spacing w:after="160" w:before="280"/>
      </w:pPr>
      <w:r>
        <w:rPr>
          <w:rFonts w:ascii="Roboto Flex" w:cs="Roboto Flex" w:eastAsia="Roboto Flex" w:hAnsi="Roboto Flex"/>
          <w:b/>
          <w:bCs/>
          <w:color w:val="262F27"/>
          <w:sz w:val="24"/>
          <w:szCs w:val="24"/>
        </w:rPr>
        <w:t xml:space="preserve">5.1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800"/>
        <w:gridCol w:w="43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3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Organization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Multi-tenancy scope.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Who is looking.</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assignedAgentId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 managing this request.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requestType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Buy | Rent. Only two values. Everything else is a flag.</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propertyCategory</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Residential | Commercial | Land.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propertyTypes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Multi-select: Apartment | House | Villa | Office | Warehouse | Land | Hotel.</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budgetMin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For Rent: monthly. Nullable — some buyers have no lower bound.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budgetMax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Hard upper limit.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centerLatitude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Center point of desired area. Set via Photon autocomplete or map click.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centerLongitude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Center point of desired area.</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radiusKm</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Search radius in km from center point.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searchArea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Unsupported (PostGIS)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GEOGRAPHY(POLYGON, 4326). Custom polygon drawn by agent on map via MapLibre GL Draw. Takes priority over radius if both exist.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locationCenter</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Unsupported (PostGIS)</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GEOGRAPHY(POINT, 4326). Synced from centerLatitude/centerLongitude via DB trigger (same pattern as Property).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locationDisplayName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Human-readable location label cached at creation (e.g. "Γλυφάδα, Αθήνα"). Avoids geocoding API call for display.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surfaceMin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Minimum sq 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surfaceMax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Maximum sq m. Nullable = no upper limit.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Active | Matched | UnderOffer | Closed | Paused.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urgency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Immediate | OneToThreeMonths | ThreeToSixMonths | Flexible.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notes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Additional freeform requirements.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w:t>
            </w:r>
          </w:p>
        </w:tc>
      </w:tr>
    </w:tbl>
    <w:p>
      <w:pPr>
        <w:pStyle w:val="Heading2"/>
        <w:spacing w:after="160" w:before="280"/>
      </w:pPr>
      <w:r>
        <w:rPr>
          <w:rFonts w:ascii="Roboto Flex" w:cs="Roboto Flex" w:eastAsia="Roboto Flex" w:hAnsi="Roboto Flex"/>
          <w:b/>
          <w:bCs/>
          <w:color w:val="262F27"/>
          <w:sz w:val="24"/>
          <w:szCs w:val="24"/>
        </w:rPr>
        <w:t xml:space="preserve">5.2 Extended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800"/>
        <w:gridCol w:w="43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3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Property Criteria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bedroomsMin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Minimum bedrooms.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bathroomsMin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Minimum bathrooms.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floorMin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Minimum acceptable floor.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floorMax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Maximum acceptable floor.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requiresElevator</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requiresParking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parkingType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Any | Covered | Garage.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requiresStorage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requiresGarden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balconyMinSqm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viewTypes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Preferred views: Sea | Mountain | City | Garden.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energyClassMin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Minimum energy class required.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constructionYearMin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constructionYearMax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conditionPreference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MoveInReady | NeedsRenovation | NewBuild | Any.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heatingTypes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Acceptable heating types. Multi-select.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requiresAC</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petFriendly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For Rent requests.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orientationPref</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Preferred orientations.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Buyer / Investment Context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isInvestmentPurpose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expectedYieldPct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Expected rental yield % if investment.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goldenVisaEligible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Flags that the buyer needs a property qualifying for Golden Visa.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financingStatus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Cash | PreApprovedMortgage | PendingFinancing.</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auctionInterest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Buyer is open to auction properties (Πλειστηριασμός).</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Matching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(see Section 12.4)</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PropertyRequestMatch</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N/A</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Match results, scores, status, and dismissal tracking are managed via the PropertyRequestMatch join table. Replaces v1.0 matchedPropertyIds and dismissedPropertyIds arrays.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MATCHMAKING NOTE</w:t>
            </w:r>
          </w:p>
          <w:p>
            <w:pPr>
              <w:spacing w:before="0"/>
            </w:pPr>
            <w:r>
              <w:rPr>
                <w:rFonts w:ascii="Manrope" w:cs="Manrope" w:eastAsia="Manrope" w:hAnsi="Manrope"/>
                <w:color w:val="333333"/>
                <w:sz w:val="19"/>
                <w:szCs w:val="19"/>
              </w:rPr>
              <w:t xml:space="preserve">The spatial fields are the primary location mechanism for Polis matching. Requests can specify location via either a radius from a center point OR a custom-drawn polygon (polygon takes priority if both exist). The matching engine treats location as a weighted factor, not a hard filter — properties just outside the area can still appear with a lower score.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"Sell" is deliberately excluded as a Request type. A contact wishing to sell creates a Property record with status = Draft. Mixing sell intents into the Request entity would contaminate the matchmaking schema.</w:t>
            </w:r>
          </w:p>
        </w:tc>
      </w:tr>
    </w:tbl>
    <w:p>
      <w:r>
        <w:br w:type="page"/>
      </w:r>
    </w:p>
    <w:p>
      <w:pPr>
        <w:spacing w:after="80" w:before="400"/>
      </w:pPr>
      <w:r>
        <w:rPr>
          <w:rFonts w:ascii="Roboto Flex" w:cs="Roboto Flex" w:eastAsia="Roboto Flex" w:hAnsi="Roboto Flex"/>
          <w:color w:val="7B8C7C"/>
          <w:spacing w:val="120"/>
          <w:sz w:val="18"/>
          <w:szCs w:val="18"/>
        </w:rPr>
        <w:t xml:space="preserve">06 — CALENDAR EVENTS</w:t>
      </w:r>
    </w:p>
    <w:p>
      <w:pPr>
        <w:pStyle w:val="Heading1"/>
        <w:spacing w:after="200" w:before="360"/>
      </w:pPr>
      <w:r>
        <w:rPr>
          <w:rFonts w:ascii="Roboto Flex" w:cs="Roboto Flex" w:eastAsia="Roboto Flex" w:hAnsi="Roboto Flex"/>
          <w:b/>
          <w:bCs/>
          <w:color w:val="262F27"/>
          <w:sz w:val="28"/>
          <w:szCs w:val="28"/>
        </w:rPr>
        <w:t xml:space="preserve">6. Entity: Calendar Events</w:t>
      </w:r>
    </w:p>
    <w:p>
      <w:pPr>
        <w:spacing w:after="120" w:before="120"/>
      </w:pPr>
      <w:r>
        <w:rPr>
          <w:rFonts w:ascii="Manrope" w:cs="Manrope" w:eastAsia="Manrope" w:hAnsi="Manrope"/>
          <w:sz w:val="20"/>
          <w:szCs w:val="20"/>
        </w:rPr>
        <w:t xml:space="preserve">Calendar Events tracks scheduled activities across the agency. The key design principle is that a single entity type with a mandatory event type field controls which contextual fields are meaningful — rather than multiple separate event entities. Integration with Google Calendar (two-way sync of Oikion-created events) is already in scope for V1.</w:t>
      </w:r>
    </w:p>
    <w:p>
      <w:pPr>
        <w:spacing w:after="120" w:before="120"/>
      </w:pPr>
      <w:r>
        <w:rPr>
          <w:rFonts w:ascii="Manrope" w:cs="Manrope" w:eastAsia="Manrope" w:hAnsi="Manrope"/>
          <w:sz w:val="20"/>
          <w:szCs w:val="20"/>
        </w:rPr>
        <w:t xml:space="preserve">Status independence: Calendar Event status and Showing status are independent. A showing can occur without a calendar event (walk-in), and a calendar event can be cancelled while the showing happens informally. When a Calendar Event of type Showing is cancelled, the application layer should surface a prompt asking whether the linked Showing should also be cancelled — this is a UX nudge, not an automatic cascade.</w:t>
      </w:r>
    </w:p>
    <w:p>
      <w:pPr>
        <w:pStyle w:val="Heading2"/>
        <w:spacing w:after="160" w:before="280"/>
      </w:pPr>
      <w:r>
        <w:rPr>
          <w:rFonts w:ascii="Roboto Flex" w:cs="Roboto Flex" w:eastAsia="Roboto Flex" w:hAnsi="Roboto Flex"/>
          <w:b/>
          <w:bCs/>
          <w:color w:val="262F27"/>
          <w:sz w:val="24"/>
          <w:szCs w:val="24"/>
        </w:rPr>
        <w:t xml:space="preserve">6.1 Event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 (enum value)</w:t>
            </w:r>
          </w:p>
        </w:tc>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Greek Label</w:t>
            </w:r>
          </w:p>
        </w:tc>
        <w:tc>
          <w:tcPr>
            <w:tcW w:type="dxa" w:w="44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Υπόδειξη</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 property is shown to a buyer/tenant. Most common event type.</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ValuationVisit</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Επίσκεψη Αποτίμησης</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 visits a property to assess value and mandate potential.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FollowUpCall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Τηλεφώνημα</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Phone / WhatsApp / Viber call with a contact.</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SigningAppointment</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Υπογραφή Συμβολαίου</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Notarial contract signing meeting. Links to a Deal and a Notary contact.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OpenHouse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Ημέρα Ανοιχτών Θυρών</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Open viewing event for one property with multiple attendees.</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TeamMeeting</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Εσωτερική Συνάντηση</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Internal meeting. No external contacts.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Deadline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Προθεσμία</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Time-sensitive deadline: mandate expiry, deal deposit deadline, etc.</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Other</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Άλλο</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Catch-all.</w:t>
            </w:r>
          </w:p>
        </w:tc>
      </w:tr>
    </w:tbl>
    <w:p>
      <w:pPr>
        <w:pStyle w:val="Heading2"/>
        <w:spacing w:after="160" w:before="280"/>
      </w:pPr>
      <w:r>
        <w:rPr>
          <w:rFonts w:ascii="Roboto Flex" w:cs="Roboto Flex" w:eastAsia="Roboto Flex" w:hAnsi="Roboto Flex"/>
          <w:b/>
          <w:bCs/>
          <w:color w:val="262F27"/>
          <w:sz w:val="24"/>
          <w:szCs w:val="24"/>
        </w:rPr>
        <w:t xml:space="preserve">6.2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800"/>
        <w:gridCol w:w="43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3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Organization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Multi-tenancy scope.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See event types table above.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title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Can be auto-generated from type + linked entity names, overridable.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startAt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UTC. Display converted to Greece timezone (EET/EEST).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endAt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isAllDay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For deadlines and date-only events.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Nullable. Required for Showing, ValuationVisit, OpenHouse.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dealId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Deal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Nullable. Recommended for SigningAppointment.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location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Free text address or virtual meeting 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reminderMinutes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Minutes before start to trigger notification. Default 60.</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Scheduled | Completed | Cancelled | NoShow.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outcome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Completed after the event. Feeds the activity timeline.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googleCalEventId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Google Calendar event ID for two-way sync.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 Allows agents to remove cancelled events from view.</w:t>
            </w:r>
          </w:p>
        </w:tc>
      </w:tr>
    </w:tbl>
    <w:p>
      <w:pPr>
        <w:spacing w:after="120" w:before="120"/>
      </w:pPr>
      <w:r>
        <w:rPr>
          <w:rFonts w:ascii="Manrope" w:cs="Manrope" w:eastAsia="Manrope" w:hAnsi="Manrope"/>
          <w:sz w:val="20"/>
          <w:szCs w:val="20"/>
        </w:rPr>
        <w:t xml:space="preserve">Agent and contact attendance is managed via join tables (Section 12.7 and 12.8), replacing the v1.0 assignedAgentIds and contactIds array FK fields.</w:t>
      </w:r>
    </w:p>
    <w:p>
      <w:pPr>
        <w:pStyle w:val="Heading2"/>
        <w:spacing w:after="160" w:before="280"/>
      </w:pPr>
      <w:r>
        <w:rPr>
          <w:rFonts w:ascii="Roboto Flex" w:cs="Roboto Flex" w:eastAsia="Roboto Flex" w:hAnsi="Roboto Flex"/>
          <w:b/>
          <w:bCs/>
          <w:color w:val="262F27"/>
          <w:sz w:val="24"/>
          <w:szCs w:val="24"/>
        </w:rPr>
        <w:t xml:space="preserve">6.3 Type-Specific Supplementary Fields</w:t>
      </w:r>
    </w:p>
    <w:p>
      <w:pPr>
        <w:spacing w:after="120" w:before="120"/>
      </w:pPr>
      <w:r>
        <w:rPr>
          <w:rFonts w:ascii="Manrope" w:cs="Manrope" w:eastAsia="Manrope" w:hAnsi="Manrope"/>
          <w:sz w:val="20"/>
          <w:szCs w:val="20"/>
        </w:rPr>
        <w:t xml:space="preserve">These fields are only meaningful for specific event types. They can be stored as a nullable JSON metadata column or as sparse nullable columns — the developer should assess the best approach given query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Showing (type = Showing)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showingRequestId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Request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Which demand brief triggered this showing. Detailed outcome fields (interestLevel, feedback) live on the Showing entity (Section 10), not 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accessConfirmed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Whether property access has been arranged with the owner.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Signing Appointment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notaryContactId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notary conducting the signing.</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signingDealId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Deal</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deal being signed.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w:t>
            </w:r>
            <w:r>
              <w:rPr>
                <w:rFonts w:ascii="Manrope" w:cs="Manrope" w:eastAsia="Manrope" w:hAnsi="Manrope"/>
                <w:b/>
                <w:bCs/>
                <w:sz w:val="18"/>
                <w:szCs w:val="18"/>
              </w:rPr>
              <w:t xml:space="preserve">Follow-up Call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callDirection</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Inbound | Outbound.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callMedium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Phone | WhatsApp | Viber | VideoCall.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GOOGLE CALENDAR</w:t>
            </w:r>
          </w:p>
          <w:p>
            <w:pPr>
              <w:spacing w:before="0"/>
            </w:pPr>
            <w:r>
              <w:rPr>
                <w:rFonts w:ascii="Manrope" w:cs="Manrope" w:eastAsia="Manrope" w:hAnsi="Manrope"/>
                <w:color w:val="333333"/>
                <w:sz w:val="19"/>
                <w:szCs w:val="19"/>
              </w:rPr>
              <w:t xml:space="preserve">The existing Google Calendar integration scope (V1: two-way sync of Oikion-created events, read-only external events) means the googleCalEventId field is required from day one. GDPR sub-processor obligations for Google Ireland Ltd are already captured in the tester agreement Annex 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Recurrence (weekly team meetings, monthly reviews) is deferred to V2. See Section 14 deferral table. When implemented, an rrule field (RFC 5545) will be added. Google Calendar two-way sync inherits recurrence from Google for read-only external events; Oikion-created recurring events will need native rrule support.</w:t>
            </w:r>
          </w:p>
        </w:tc>
      </w:tr>
    </w:tbl>
    <w:p>
      <w:r>
        <w:br w:type="page"/>
      </w:r>
    </w:p>
    <w:p>
      <w:pPr>
        <w:spacing w:after="80" w:before="400"/>
      </w:pPr>
      <w:r>
        <w:rPr>
          <w:rFonts w:ascii="Roboto Flex" w:cs="Roboto Flex" w:eastAsia="Roboto Flex" w:hAnsi="Roboto Flex"/>
          <w:color w:val="7B8C7C"/>
          <w:spacing w:val="120"/>
          <w:sz w:val="18"/>
          <w:szCs w:val="18"/>
        </w:rPr>
        <w:t xml:space="preserve">07 — DOCUMENT RECORDS</w:t>
      </w:r>
    </w:p>
    <w:p>
      <w:pPr>
        <w:pStyle w:val="Heading1"/>
        <w:spacing w:after="200" w:before="360"/>
      </w:pPr>
      <w:r>
        <w:rPr>
          <w:rFonts w:ascii="Roboto Flex" w:cs="Roboto Flex" w:eastAsia="Roboto Flex" w:hAnsi="Roboto Flex"/>
          <w:b/>
          <w:bCs/>
          <w:color w:val="262F27"/>
          <w:sz w:val="28"/>
          <w:szCs w:val="28"/>
        </w:rPr>
        <w:t xml:space="preserve">7. Entity: Document Records</w:t>
      </w:r>
    </w:p>
    <w:p>
      <w:pPr>
        <w:spacing w:after="120" w:before="120"/>
      </w:pPr>
      <w:r>
        <w:rPr>
          <w:rFonts w:ascii="Manrope" w:cs="Manrope" w:eastAsia="Manrope" w:hAnsi="Manrope"/>
          <w:sz w:val="20"/>
          <w:szCs w:val="20"/>
        </w:rPr>
        <w:t xml:space="preserve">Document Records store actual files (PDFs, images, signed contracts) attached to Properties, Contacts, or Deals. This is distinct from Document Templates (Section 8), which are reusable agency documents with variable placeholders.</w:t>
      </w:r>
    </w:p>
    <w:p>
      <w:pPr>
        <w:spacing w:after="120" w:before="120"/>
      </w:pPr>
      <w:r>
        <w:rPr>
          <w:rFonts w:ascii="Manrope" w:cs="Manrope" w:eastAsia="Manrope" w:hAnsi="Manrope"/>
          <w:sz w:val="20"/>
          <w:szCs w:val="20"/>
        </w:rPr>
        <w:t xml:space="preserve">Files are stored in Vercel Blob. The Document Record entity stores metadata and the Blob URL, not the file itself.</w:t>
      </w:r>
    </w:p>
    <w:p>
      <w:pPr>
        <w:pStyle w:val="Heading2"/>
        <w:spacing w:after="160" w:before="280"/>
      </w:pPr>
      <w:r>
        <w:rPr>
          <w:rFonts w:ascii="Roboto Flex" w:cs="Roboto Flex" w:eastAsia="Roboto Flex" w:hAnsi="Roboto Flex"/>
          <w:b/>
          <w:bCs/>
          <w:color w:val="262F27"/>
          <w:sz w:val="24"/>
          <w:szCs w:val="24"/>
        </w:rPr>
        <w:t xml:space="preserve">7.1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800"/>
        <w:gridCol w:w="43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3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Organization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Human-readable file name.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type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See document type taxonomy below.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parentType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 | Contact | Deal. Polymorphic parent discriminator.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parentId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to the parent entity.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blobUrl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Vercel Blob URL.</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mimeType</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e.g. application/pdf, image/jpeg.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fileSizeBytes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uploadedByUserId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expiryDate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For ΠΕΑ energy certificates, mandates. Trigger alert before expiry.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isVerified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 confirms this is the correct, valid document.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visibility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Internal | SharedWithClient.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notes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templateId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DocTemplate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If this document was generated from a template.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templateVersion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version of the template at the time this document was generated. Enables historical reconstruction of what the template contained when the document was created.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 Files in Vercel Blob should be retained for a retention period before physical deletion.</w:t>
            </w:r>
          </w:p>
        </w:tc>
      </w:tr>
    </w:tbl>
    <w:p>
      <w:pPr>
        <w:pStyle w:val="Heading2"/>
        <w:spacing w:after="160" w:before="280"/>
      </w:pPr>
      <w:r>
        <w:rPr>
          <w:rFonts w:ascii="Roboto Flex" w:cs="Roboto Flex" w:eastAsia="Roboto Flex" w:hAnsi="Roboto Flex"/>
          <w:b/>
          <w:bCs/>
          <w:color w:val="262F27"/>
          <w:sz w:val="24"/>
          <w:szCs w:val="24"/>
        </w:rPr>
        <w:t xml:space="preserve">7.2 Document Type Taxonomy</w:t>
      </w:r>
    </w:p>
    <w:p>
      <w:pPr>
        <w:spacing w:after="120" w:before="120"/>
      </w:pPr>
      <w:r>
        <w:rPr>
          <w:rFonts w:ascii="Manrope" w:cs="Manrope" w:eastAsia="Manrope" w:hAnsi="Manrope"/>
          <w:sz w:val="20"/>
          <w:szCs w:val="20"/>
        </w:rPr>
        <w:t xml:space="preserve">The type enum is segmented by parent entity type. The developer may implement this as a single flat enum or as nested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Parent</w:t>
            </w:r>
          </w:p>
        </w:tc>
        <w:tc>
          <w:tcPr>
            <w:tcW w:type="dxa" w:w="2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 Value</w:t>
            </w:r>
          </w:p>
        </w:tc>
        <w:tc>
          <w:tcPr>
            <w:tcW w:type="dxa" w:w="50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Description (Greek reference)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TitleDeed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Τίτλος Κτήσης — primary ownership document</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EnergyCertificate</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ΠΕΑ — mandatory for listing; has expiry date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BuildingPermit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Άδεια Οικοδομής</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TopographicPlan</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Τοπογραφικό Διάγραμμα</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FloorPlan</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Κάτοψη</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EnfiaStatement</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Πιστοποιητικό ΕΝΦΙΑ</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MunicipalClearance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Βεβαίωση μη οφειλής ΟΤΑ</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CadastreExtract</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Κτηματολογικό Απόσπασμα (KAEK)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MandateAgreement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Συμφωνητικό Ανάθεσης — has expiry date</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PropertyPhoto</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Listing photo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Other</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Catch-all for property docs</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NationalId</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Αστυνομική Ταυτότητα / Passport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TaxIdCertificate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ΑΦΜ confirmation document</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PowerOfAttorney</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Πληρεξούσιο — critical for foreign buyers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ProofOfFunds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Bank statement / fund source letter</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TaxClearance</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Φορολογική Ενημερότητα</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Other</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Catch-all for contact docs</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PreliminaryAgreement</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Προσύμφωνο — preliminary contract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DepositReceipt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Απόδειξη Προκαταβολής</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TransferTaxReceipt</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ΦΜΑ receipt (3.09% transfer tax)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FinalContract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Συμβόλαιο Μεταβίβασης — notarised</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RegistrationReceipt</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Απόδειξη Εγγραφής Κτηματολογίου</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CommissionInvoice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Agency commission invoice</w:t>
            </w:r>
          </w:p>
        </w:tc>
      </w:tr>
      <w:tr>
        <w:tc>
          <w:tcPr>
            <w:tcW w:type="dxa" w:w="16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Other</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Catch-all for deal docs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E8F5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GDPR</w:t>
            </w:r>
          </w:p>
          <w:p>
            <w:pPr>
              <w:spacing w:before="0"/>
            </w:pPr>
            <w:r>
              <w:rPr>
                <w:rFonts w:ascii="Manrope" w:cs="Manrope" w:eastAsia="Manrope" w:hAnsi="Manrope"/>
                <w:color w:val="333333"/>
                <w:sz w:val="19"/>
                <w:szCs w:val="19"/>
              </w:rPr>
              <w:t xml:space="preserve">Document Records frequently contain the most sensitive personal data in the system: passport copies, ΑΦΜ certificates, proof of funds, and power of attorney documents. Access to Document Records of type NationalId, TaxIdCertificate, PowerOfAttorney, and ProofOfFunds should be restricted to agents with explicit permission on the parent Contact or Deal.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BEST PRACTICE</w:t>
            </w:r>
          </w:p>
          <w:p>
            <w:pPr>
              <w:spacing w:before="0"/>
            </w:pPr>
            <w:r>
              <w:rPr>
                <w:rFonts w:ascii="Manrope" w:cs="Manrope" w:eastAsia="Manrope" w:hAnsi="Manrope"/>
                <w:color w:val="333333"/>
                <w:sz w:val="19"/>
                <w:szCs w:val="19"/>
              </w:rPr>
              <w:t xml:space="preserve">Consider a separate Document Checklist feature (not a separate entity) that maps document types to a completion status per property or deal. This gives agents a visual progress indicator without requiring all documents to be uploaded — some may exist only physically or in external systems.</w:t>
            </w:r>
          </w:p>
        </w:tc>
      </w:tr>
    </w:tbl>
    <w:p>
      <w:r>
        <w:br w:type="page"/>
      </w:r>
    </w:p>
    <w:p>
      <w:pPr>
        <w:spacing w:after="80" w:before="400"/>
      </w:pPr>
      <w:r>
        <w:rPr>
          <w:rFonts w:ascii="Roboto Flex" w:cs="Roboto Flex" w:eastAsia="Roboto Flex" w:hAnsi="Roboto Flex"/>
          <w:color w:val="7B8C7C"/>
          <w:spacing w:val="120"/>
          <w:sz w:val="18"/>
          <w:szCs w:val="18"/>
        </w:rPr>
        <w:t xml:space="preserve">08 — DOCUMENT TEMPLATES</w:t>
      </w:r>
    </w:p>
    <w:p>
      <w:pPr>
        <w:pStyle w:val="Heading1"/>
        <w:spacing w:after="200" w:before="360"/>
      </w:pPr>
      <w:r>
        <w:rPr>
          <w:rFonts w:ascii="Roboto Flex" w:cs="Roboto Flex" w:eastAsia="Roboto Flex" w:hAnsi="Roboto Flex"/>
          <w:b/>
          <w:bCs/>
          <w:color w:val="262F27"/>
          <w:sz w:val="28"/>
          <w:szCs w:val="28"/>
        </w:rPr>
        <w:t xml:space="preserve">8. Entity: Document Templates</w:t>
      </w:r>
    </w:p>
    <w:p>
      <w:pPr>
        <w:spacing w:after="120" w:before="120"/>
      </w:pPr>
      <w:r>
        <w:rPr>
          <w:rFonts w:ascii="Manrope" w:cs="Manrope" w:eastAsia="Manrope" w:hAnsi="Manrope"/>
          <w:sz w:val="20"/>
          <w:szCs w:val="20"/>
        </w:rPr>
        <w:t xml:space="preserve">Document Templates are reusable agency documents with variable placeholders — mandate agreements, rental contracts, offer letters, commission invoices, client intake forms. They are authored by agency admins and instantiated into Document Records when needed for a specific transaction.</w:t>
      </w:r>
    </w:p>
    <w:p>
      <w:pPr>
        <w:spacing w:after="120" w:before="120"/>
      </w:pPr>
      <w:r>
        <w:rPr>
          <w:rFonts w:ascii="Manrope" w:cs="Manrope" w:eastAsia="Manrope" w:hAnsi="Manrope"/>
          <w:sz w:val="20"/>
          <w:szCs w:val="20"/>
        </w:rPr>
        <w:t xml:space="preserve">Version tracking: When a template is edited, the version number increments. The previous body is stored in a DocumentTemplateVersion history table (or the template is treated as append-only). Document Records generated from a template record the templateVersion at the time of generation, enabling historical reconstruction.</w:t>
      </w:r>
    </w:p>
    <w:p>
      <w:pPr>
        <w:pStyle w:val="Heading2"/>
        <w:spacing w:after="160" w:before="280"/>
      </w:pPr>
      <w:r>
        <w:rPr>
          <w:rFonts w:ascii="Roboto Flex" w:cs="Roboto Flex" w:eastAsia="Roboto Flex" w:hAnsi="Roboto Flex"/>
          <w:b/>
          <w:bCs/>
          <w:color w:val="262F27"/>
          <w:sz w:val="24"/>
          <w:szCs w:val="24"/>
        </w:rPr>
        <w:t xml:space="preserve">8.1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800"/>
        <w:gridCol w:w="43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7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3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Organization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Human-readable template name.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category</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MandateAgreement | RentalContract | OfferLetter | CommissionInvoice | ClientIntakeForm | Other.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body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 / JSON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Template content. If WYSIWYG editor is used, store as structured JSON (e.g. TipTap/ProseMirror format). Structured JSON is recommended for AI Legal Advisor parsability.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variables</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JSON[]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Array of variable definitions. Each entry: {name: string, sourceEntity: "Contact" | "Property" | "Deal" | "Manual", sourceField: string | null, displayLabel: string}. Variables with sourceEntity = "Manual" require agent input during instantiation. See Section 8.2.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language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EL | EN | Both. Greek templates are primary.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version</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Auto-increment on edit. Default 1. Previous versions stored in DocumentTemplateVersion history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isActive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Inactive templates are hidden from selection but retained for document record references.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createdByUserId</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7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w:t>
            </w:r>
          </w:p>
        </w:tc>
      </w:tr>
    </w:tbl>
    <w:p>
      <w:pPr>
        <w:pStyle w:val="Heading2"/>
        <w:spacing w:after="160" w:before="280"/>
      </w:pPr>
      <w:r>
        <w:rPr>
          <w:rFonts w:ascii="Roboto Flex" w:cs="Roboto Flex" w:eastAsia="Roboto Flex" w:hAnsi="Roboto Flex"/>
          <w:b/>
          <w:bCs/>
          <w:color w:val="262F27"/>
          <w:sz w:val="24"/>
          <w:szCs w:val="24"/>
        </w:rPr>
        <w:t xml:space="preserve">8.2 Variable Source Mapping</w:t>
      </w:r>
    </w:p>
    <w:p>
      <w:pPr>
        <w:spacing w:after="120" w:before="120"/>
      </w:pPr>
      <w:r>
        <w:rPr>
          <w:rFonts w:ascii="Manrope" w:cs="Manrope" w:eastAsia="Manrope" w:hAnsi="Manrope"/>
          <w:sz w:val="20"/>
          <w:szCs w:val="20"/>
        </w:rPr>
        <w:t xml:space="preserve">The variables field defines how placeholder values are resolved during template instantiation. Example variable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26"/>
      </w:tblGrid>
      <w:tr>
        <w:trPr>
          <w:tblHeader/>
        </w:trPr>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name</w:t>
            </w:r>
          </w:p>
        </w:tc>
        <w:tc>
          <w:tcPr>
            <w:tcW w:type="dxa" w:w="1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sourceEntity</w:t>
            </w:r>
          </w:p>
        </w:tc>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sourceField</w:t>
            </w:r>
          </w:p>
        </w:tc>
        <w:tc>
          <w:tcPr>
            <w:tcW w:type="dxa" w:w="30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displayLabel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displayName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Όνομα Πελάτη</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contactTaxId</w:t>
            </w:r>
          </w:p>
        </w:tc>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taxId</w:t>
            </w:r>
          </w:p>
        </w:tc>
        <w:tc>
          <w:tcPr>
            <w:tcW w:type="dxa" w:w="3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ΑΦΜ Πελάτη</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formattedAddress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Διεύθυνση Ακινήτου</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commissionRate</w:t>
            </w:r>
          </w:p>
        </w:tc>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commissionRate</w:t>
            </w:r>
          </w:p>
        </w:tc>
        <w:tc>
          <w:tcPr>
            <w:tcW w:type="dxa" w:w="3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Ποσοστό Προμήθειας</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agreedPrice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agreedPrice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Συμφωνηθέν Τίμημα</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specialTerms</w:t>
            </w:r>
          </w:p>
        </w:tc>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Manual</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(null)</w:t>
            </w:r>
          </w:p>
        </w:tc>
        <w:tc>
          <w:tcPr>
            <w:tcW w:type="dxa" w:w="3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Ειδικοί Όροι</w:t>
            </w:r>
          </w:p>
        </w:tc>
      </w:tr>
    </w:tbl>
    <w:p>
      <w:pPr>
        <w:spacing w:after="120" w:before="120"/>
      </w:pPr>
      <w:r>
        <w:rPr>
          <w:rFonts w:ascii="Manrope" w:cs="Manrope" w:eastAsia="Manrope" w:hAnsi="Manrope"/>
          <w:sz w:val="20"/>
          <w:szCs w:val="20"/>
        </w:rPr>
        <w:t xml:space="preserve">Variables with sourceEntity = "Manual" have no sourceField and require the agent to type the value during document instantiation. All other variables are auto-populated from the linked entity, with the agent able to override. This structure also future-proofs the AI Legal Advisor integration — the LLM can read the variable schema to understand what data a template expects.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The AI Legal Advisor (in prototyping, planned for Hetzner VPS) may interact with Document Templates for contract generation and review. Structured JSON body format is more parseable by LLM tooling than raw HTML.</w:t>
            </w:r>
          </w:p>
        </w:tc>
      </w:tr>
    </w:tbl>
    <w:p>
      <w:r>
        <w:br w:type="page"/>
      </w:r>
    </w:p>
    <w:p>
      <w:pPr>
        <w:spacing w:after="80" w:before="400"/>
      </w:pPr>
      <w:r>
        <w:rPr>
          <w:rFonts w:ascii="Roboto Flex" w:cs="Roboto Flex" w:eastAsia="Roboto Flex" w:hAnsi="Roboto Flex"/>
          <w:color w:val="7B8C7C"/>
          <w:spacing w:val="120"/>
          <w:sz w:val="18"/>
          <w:szCs w:val="18"/>
        </w:rPr>
        <w:t xml:space="preserve">09 — DEALS</w:t>
      </w:r>
    </w:p>
    <w:p>
      <w:pPr>
        <w:pStyle w:val="Heading1"/>
        <w:spacing w:after="200" w:before="360"/>
      </w:pPr>
      <w:r>
        <w:rPr>
          <w:rFonts w:ascii="Roboto Flex" w:cs="Roboto Flex" w:eastAsia="Roboto Flex" w:hAnsi="Roboto Flex"/>
          <w:b/>
          <w:bCs/>
          <w:color w:val="262F27"/>
          <w:sz w:val="28"/>
          <w:szCs w:val="28"/>
        </w:rPr>
        <w:t xml:space="preserve">9. Entity: Deals (Συναλλαγές)</w:t>
      </w:r>
    </w:p>
    <w:p>
      <w:pPr>
        <w:spacing w:after="120" w:before="120"/>
      </w:pPr>
      <w:r>
        <w:rPr>
          <w:rFonts w:ascii="Manrope" w:cs="Manrope" w:eastAsia="Manrope" w:hAnsi="Manrope"/>
          <w:sz w:val="20"/>
          <w:szCs w:val="20"/>
        </w:rPr>
        <w:t xml:space="preserve">Deals represent the transaction record — from first offer through to land registry registration. A Deal links a Property, buyer and seller contacts (via DealParty join table), the agents involved, and all transaction-stage documents. It maps directly to the Greek real estate transaction legal workflow.</w:t>
      </w:r>
    </w:p>
    <w:p>
      <w:pPr>
        <w:spacing w:after="120" w:before="120"/>
      </w:pPr>
      <w:r>
        <w:rPr>
          <w:rFonts w:ascii="Manrope" w:cs="Manrope" w:eastAsia="Manrope" w:hAnsi="Manrope"/>
          <w:sz w:val="20"/>
          <w:szCs w:val="20"/>
        </w:rPr>
        <w:t xml:space="preserve">v2.0 changes: buyerId and sellerId single FKs are replaced by the DealParty join table (Section 12.3) to handle co-buyers, co-sellers, legal representatives, and guarantors. stageHistory JSON is replaced by the DealStageLog table (Section 12.6). Rental-specific fields are added. A nullable requestId links directly to the demand brief that originated the transaction.</w:t>
      </w:r>
    </w:p>
    <w:p>
      <w:pPr>
        <w:pStyle w:val="Heading2"/>
        <w:spacing w:after="160" w:before="280"/>
      </w:pPr>
      <w:r>
        <w:rPr>
          <w:rFonts w:ascii="Roboto Flex" w:cs="Roboto Flex" w:eastAsia="Roboto Flex" w:hAnsi="Roboto Flex"/>
          <w:b/>
          <w:bCs/>
          <w:color w:val="262F27"/>
          <w:sz w:val="24"/>
          <w:szCs w:val="24"/>
        </w:rPr>
        <w:t xml:space="preserve">9.1 Pipeline Stages</w:t>
      </w:r>
    </w:p>
    <w:p>
      <w:pPr>
        <w:spacing w:after="120" w:before="120"/>
      </w:pPr>
      <w:r>
        <w:rPr>
          <w:rFonts w:ascii="Manrope" w:cs="Manrope" w:eastAsia="Manrope" w:hAnsi="Manrope"/>
          <w:sz w:val="20"/>
          <w:szCs w:val="20"/>
        </w:rPr>
        <w:t xml:space="preserve">The following stages are sequential. A deal can also transition to FallenThrough from any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Stage Value</w:t>
            </w:r>
          </w:p>
        </w:tc>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Greek Label</w:t>
            </w:r>
          </w:p>
        </w:tc>
        <w:tc>
          <w:tcPr>
            <w:tcW w:type="dxa" w:w="44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Description / Trigger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Interest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Ενδιαφέρον</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Buyer expresses serious interest after a showing.</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Offer</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Προσφορά</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Verbal or written offer submitted.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Negotiation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Διαπραγμάτευση</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Counter-offer; price / terms being negotiated.</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PreliminaryAgreement</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Προσύμφωνο</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Preliminary contract signed; deposit (typically 10%) paid. Sale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DueDiligence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Νομικός Έλεγχος</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Lawyer checks title, encumbrances, legal status. Sale only.</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TransferTax</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ΦΜΑ</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Transfer tax (3.09%) paid; declaration submitted via myProperty. Sale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Signing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Υπογραφή Συμβολαίου</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Final notarised contract signed at notary office.</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Registration</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Εγγραφή Κτηματολογίου</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Notary registers transfer at Land Registry. Sale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Completed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Ολοκληρώθηκε</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All steps done; buyer is registered owner.</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FallenThrough</w:t>
            </w:r>
          </w:p>
        </w:tc>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Ναυάγησε</w:t>
            </w:r>
          </w:p>
        </w:tc>
        <w:tc>
          <w:tcPr>
            <w:tcW w:type="dxa" w:w="44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 collapsed at any stage. Requires reason field.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Rental deals follow a simplified pipeline: Interest → Offer → Negotiation → Signing → Completed (or FallenThrough). The stages PreliminaryAgreement, DueDiligence, TransferTax, and Registration do not apply to standard rental transactions. The developer may implement this as a dealType-aware stage validator.</w:t>
            </w:r>
          </w:p>
        </w:tc>
      </w:tr>
    </w:tbl>
    <w:p>
      <w:pPr>
        <w:pStyle w:val="Heading2"/>
        <w:spacing w:after="160" w:before="280"/>
      </w:pPr>
      <w:r>
        <w:rPr>
          <w:rFonts w:ascii="Roboto Flex" w:cs="Roboto Flex" w:eastAsia="Roboto Flex" w:hAnsi="Roboto Flex"/>
          <w:b/>
          <w:bCs/>
          <w:color w:val="262F27"/>
          <w:sz w:val="24"/>
          <w:szCs w:val="24"/>
        </w:rPr>
        <w:t xml:space="preserve">9.2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requestId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Request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demand brief that originated this transaction. Nullable for deals arising outside a formal Request (e.g. direct inquiry). Provides Polis a clean feedback signal: this Request resulted in a closed Deal.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dealType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Sale | Rent. Determines applicable pipeline stages and fields.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stage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See pipeline table above.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agreedPrice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whole euros. For Sale: total transaction price. For Rent: see monthlyRentAmount. See Section 13.7 for money convention.</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depositAmount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Typically 10% of agreed price. Sale deals.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depositDate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 deposit was paid.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listingAgentId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 holding the mandate (supply side).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buyerAgentId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 representing the buyer. May be same as listingAgent.</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commissionRate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 of agreedPrice. Auto-populated from Property.commissionRate.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commissionAmount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Calculated: agreedPrice * commissionRate / 100.</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notaryContactId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Notary conducting the signing.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expectedSigningDate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actualSigningDate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Set when stage = Signing.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registrationDate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Set when stage = Registration.</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fallenThroughReason</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Required if stage = FallenThrough.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deletedAt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Soft delete. Subject to deletion protection rules (Section 13.6).</w:t>
            </w:r>
          </w:p>
        </w:tc>
      </w:tr>
    </w:tbl>
    <w:p>
      <w:pPr>
        <w:spacing w:after="120" w:before="120"/>
      </w:pPr>
      <w:r>
        <w:rPr>
          <w:rFonts w:ascii="Manrope" w:cs="Manrope" w:eastAsia="Manrope" w:hAnsi="Manrope"/>
          <w:sz w:val="20"/>
          <w:szCs w:val="20"/>
        </w:rPr>
        <w:t xml:space="preserve">Deal parties (buyers, sellers, co-buyers, co-sellers, legal representatives, guarantors) are managed via the DealParty join table (Section 12.3). This replaces the v1.0 buyerId and sellerId single FK fields, enabling multi-party transactions that mirror notarial contract structure.</w:t>
      </w:r>
    </w:p>
    <w:p>
      <w:pPr>
        <w:spacing w:after="120" w:before="120"/>
      </w:pPr>
      <w:r>
        <w:rPr>
          <w:rFonts w:ascii="Manrope" w:cs="Manrope" w:eastAsia="Manrope" w:hAnsi="Manrope"/>
          <w:sz w:val="20"/>
          <w:szCs w:val="20"/>
        </w:rPr>
        <w:t xml:space="preserve">Stage transition history is tracked via the DealStageLog table (Section 12.6). This replaces the v1.0 stageHistory JSON array, providing indexed timestamps for time-in-stage analytics and funnel conversion reporting.</w:t>
      </w:r>
    </w:p>
    <w:p>
      <w:pPr>
        <w:pStyle w:val="Heading2"/>
        <w:spacing w:after="160" w:before="280"/>
      </w:pPr>
      <w:r>
        <w:rPr>
          <w:rFonts w:ascii="Roboto Flex" w:cs="Roboto Flex" w:eastAsia="Roboto Flex" w:hAnsi="Roboto Flex"/>
          <w:b/>
          <w:bCs/>
          <w:color w:val="262F27"/>
          <w:sz w:val="24"/>
          <w:szCs w:val="24"/>
        </w:rPr>
        <w:t xml:space="preserve">9.3 Rental-Specific Fields</w:t>
      </w:r>
    </w:p>
    <w:p>
      <w:pPr>
        <w:spacing w:after="120" w:before="120"/>
      </w:pPr>
      <w:r>
        <w:rPr>
          <w:rFonts w:ascii="Manrope" w:cs="Manrope" w:eastAsia="Manrope" w:hAnsi="Manrope"/>
          <w:sz w:val="20"/>
          <w:szCs w:val="20"/>
        </w:rPr>
        <w:t xml:space="preserve">The following fields are applicable only when dealType = 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monthlyRentAmount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monthly rent. *Required when dealType = Rent. This is the operational figure agents and tenants use. agreedPrice for rental deals represents the total agreed lease value (monthly × duration).</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securityDeposit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security deposit amount.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leaseStartDate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Lease commencement date.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leaseEndDate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Lease expiry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leaseDurationMonths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Duration in months.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renewalTerms</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Free text for renewal conditions.</w:t>
            </w:r>
          </w:p>
        </w:tc>
      </w:tr>
    </w:tbl>
    <w:p>
      <w:pPr>
        <w:pStyle w:val="Heading2"/>
        <w:spacing w:after="160" w:before="280"/>
      </w:pPr>
      <w:r>
        <w:rPr>
          <w:rFonts w:ascii="Roboto Flex" w:cs="Roboto Flex" w:eastAsia="Roboto Flex" w:hAnsi="Roboto Flex"/>
          <w:b/>
          <w:bCs/>
          <w:color w:val="262F27"/>
          <w:sz w:val="24"/>
          <w:szCs w:val="24"/>
        </w:rPr>
        <w:t xml:space="preserve">9.4 Extended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326"/>
      </w:tblGrid>
      <w:tr>
        <w:trPr>
          <w:tblHeader/>
        </w:trPr>
        <w:tc>
          <w:tcPr>
            <w:tcW w:type="dxa" w:w="2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3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transferTaxAmount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Calculated at 3.09% of max(agreedPrice, objectiveValue). Populated manually by agent.</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transferTaxPaidDate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registrationRefNo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Land registry reference number.</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hasMortgage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Is the buyer financing with a mortgage?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mortgageBankId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If hasMortgage: the bank (stored as a company contact).</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isGoldenVisaDeal</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Flags Golden Visa transactions. Triggers additional document checklist.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isForeignBuyer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Foreign buyer flag. Triggers POA requirement.</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requiresMinDefenseApproval</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Border zone properties require Ministry of National Defense approval.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commissionSplit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JSON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{listingAgentShare: 60, buyerAgentShare: 40} as percentages.</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commissionInvoiceIssued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Boolean</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commissionPaidDate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bl>
    <w:p>
      <w:r>
        <w:br w:type="page"/>
      </w:r>
    </w:p>
    <w:p>
      <w:pPr>
        <w:spacing w:after="80" w:before="400"/>
      </w:pPr>
      <w:r>
        <w:rPr>
          <w:rFonts w:ascii="Roboto Flex" w:cs="Roboto Flex" w:eastAsia="Roboto Flex" w:hAnsi="Roboto Flex"/>
          <w:color w:val="7B8C7C"/>
          <w:spacing w:val="120"/>
          <w:sz w:val="18"/>
          <w:szCs w:val="18"/>
        </w:rPr>
        <w:t xml:space="preserve">10 — SHOWINGS</w:t>
      </w:r>
    </w:p>
    <w:p>
      <w:pPr>
        <w:pStyle w:val="Heading1"/>
        <w:spacing w:after="200" w:before="360"/>
      </w:pPr>
      <w:r>
        <w:rPr>
          <w:rFonts w:ascii="Roboto Flex" w:cs="Roboto Flex" w:eastAsia="Roboto Flex" w:hAnsi="Roboto Flex"/>
          <w:b/>
          <w:bCs/>
          <w:color w:val="262F27"/>
          <w:sz w:val="28"/>
          <w:szCs w:val="28"/>
        </w:rPr>
        <w:t xml:space="preserve">10. Entity: Showings (Υποδείξεις)</w:t>
      </w:r>
    </w:p>
    <w:p>
      <w:pPr>
        <w:spacing w:after="120" w:before="120"/>
      </w:pPr>
      <w:r>
        <w:rPr>
          <w:rFonts w:ascii="Manrope" w:cs="Manrope" w:eastAsia="Manrope" w:hAnsi="Manrope"/>
          <w:sz w:val="20"/>
          <w:szCs w:val="20"/>
        </w:rPr>
        <w:t xml:space="preserve">Showings is a first-class entity in all three Greek platforms reviewed (aBroker, ilist, Real Status). It is not a calendar event sub-type — it is a structured outcome record linking a Request, a Property, an agent, and buyer feedback. Showings feed matchmaking signals and pipeline analytics (how many showings per deal closed).</w:t>
      </w:r>
    </w:p>
    <w:p>
      <w:pPr>
        <w:spacing w:after="120" w:before="120"/>
      </w:pPr>
      <w:r>
        <w:rPr>
          <w:rFonts w:ascii="Manrope" w:cs="Manrope" w:eastAsia="Manrope" w:hAnsi="Manrope"/>
          <w:sz w:val="20"/>
          <w:szCs w:val="20"/>
        </w:rPr>
        <w:t xml:space="preserve">A Showing may have an associated Calendar Event (the scheduled appointment) but the Showing record persists regardless, as a historical log of the interaction. Showing status and Calendar Event status are independent (see Section 6).</w:t>
      </w:r>
    </w:p>
    <w:p>
      <w:pPr>
        <w:spacing w:after="120" w:before="120"/>
      </w:pPr>
      <w:r>
        <w:rPr>
          <w:rFonts w:ascii="Manrope" w:cs="Manrope" w:eastAsia="Manrope" w:hAnsi="Manrope"/>
          <w:sz w:val="20"/>
          <w:szCs w:val="20"/>
        </w:rPr>
        <w:t xml:space="preserve">v2.0 change: the single contactId field is replaced by a primaryContactId (convenience FK for the main buyer/tenant) plus a ShowingAttendee join table (Section 12.9) to handle multiple attendees with roles.</w:t>
      </w:r>
    </w:p>
    <w:p>
      <w:pPr>
        <w:pStyle w:val="Heading2"/>
        <w:spacing w:after="160" w:before="280"/>
      </w:pPr>
      <w:r>
        <w:rPr>
          <w:rFonts w:ascii="Roboto Flex" w:cs="Roboto Flex" w:eastAsia="Roboto Flex" w:hAnsi="Roboto Flex"/>
          <w:b/>
          <w:bCs/>
          <w:color w:val="262F27"/>
          <w:sz w:val="24"/>
          <w:szCs w:val="24"/>
        </w:rPr>
        <w:t xml:space="preserve">10.1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requestId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Request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demand brief that triggered this showing. Nullable for unplanned visits.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primaryContactId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main buyer or tenant. Convenience FK for quick access without joining. This contact also appears in the ShowingAttendee table.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agentId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agent who conducted the showing.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calendarEventId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CalEvent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scheduled showing event, if one was created.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dealId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Deal</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Set if this showing led to or was part of a deal.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scheduledAt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When the showing was planned.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conductedAt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When it actually took place. May differ from scheduledAt.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Scheduled | Completed | NoShow | Cancelled.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interestLevel</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VeryInterested | Interested | Neutral | NotInterested. Completed post-showing.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feedback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Agent’s notes on buyer reaction, objections, specific likes/dislikes.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followUpAction</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SendMoreProperties | ScheduleSecondViewing | PrepareOffer | NoAction.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Showings do not have a deletedAt field. They are historical records and should never be soft-deleted. A cancelled showing is recorded with status = Cancelled, preserving the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MATCHMAKING NOTE</w:t>
            </w:r>
          </w:p>
          <w:p>
            <w:pPr>
              <w:spacing w:before="0"/>
            </w:pPr>
            <w:r>
              <w:rPr>
                <w:rFonts w:ascii="Manrope" w:cs="Manrope" w:eastAsia="Manrope" w:hAnsi="Manrope"/>
                <w:color w:val="333333"/>
                <w:sz w:val="19"/>
                <w:szCs w:val="19"/>
              </w:rPr>
              <w:t xml:space="preserve">The interestLevel field per showing provides a signal for improving Polis match rankings. If a buyer rates multiple properties as VeryInterested, the common attributes of those properties should increase weight in future match scoring. This integration is V2 scope but the field should be in place from V1.</w:t>
            </w:r>
          </w:p>
        </w:tc>
      </w:tr>
    </w:tbl>
    <w:p>
      <w:r>
        <w:br w:type="page"/>
      </w:r>
    </w:p>
    <w:p>
      <w:pPr>
        <w:spacing w:after="80" w:before="400"/>
      </w:pPr>
      <w:r>
        <w:rPr>
          <w:rFonts w:ascii="Roboto Flex" w:cs="Roboto Flex" w:eastAsia="Roboto Flex" w:hAnsi="Roboto Flex"/>
          <w:color w:val="7B8C7C"/>
          <w:spacing w:val="120"/>
          <w:sz w:val="18"/>
          <w:szCs w:val="18"/>
        </w:rPr>
        <w:t xml:space="preserve">11 — ACTIVITIES</w:t>
      </w:r>
    </w:p>
    <w:p>
      <w:pPr>
        <w:pStyle w:val="Heading1"/>
        <w:spacing w:after="200" w:before="360"/>
      </w:pPr>
      <w:r>
        <w:rPr>
          <w:rFonts w:ascii="Roboto Flex" w:cs="Roboto Flex" w:eastAsia="Roboto Flex" w:hAnsi="Roboto Flex"/>
          <w:b/>
          <w:bCs/>
          <w:color w:val="262F27"/>
          <w:sz w:val="28"/>
          <w:szCs w:val="28"/>
        </w:rPr>
        <w:t xml:space="preserve">11. Entity: Activities / Task Log</w:t>
      </w:r>
    </w:p>
    <w:p>
      <w:pPr>
        <w:spacing w:after="120" w:before="120"/>
      </w:pPr>
      <w:r>
        <w:rPr>
          <w:rFonts w:ascii="Manrope" w:cs="Manrope" w:eastAsia="Manrope" w:hAnsi="Manrope"/>
          <w:sz w:val="20"/>
          <w:szCs w:val="20"/>
        </w:rPr>
        <w:t xml:space="preserve">Activities is a lightweight, polymorphic interaction and task log. Every entity (Contact, Property, Request, Deal, Showing) should have an activity timeline. This is the backbone of the CRM experience — it tells the story of everything that has happened with a contact, property, or deal.</w:t>
      </w:r>
    </w:p>
    <w:p>
      <w:pPr>
        <w:spacing w:after="120" w:before="120"/>
      </w:pPr>
      <w:r>
        <w:rPr>
          <w:rFonts w:ascii="Manrope" w:cs="Manrope" w:eastAsia="Manrope" w:hAnsi="Manrope"/>
          <w:sz w:val="20"/>
          <w:szCs w:val="20"/>
        </w:rPr>
        <w:t xml:space="preserve">Activities covers both logged interactions (calls, messages, emails, notes — past tense) and pending tasks (follow-ups, reminders — future tense). Both live in the same entity, differentiated by type and completedAt. A Task is identified by type = Task; pending/complete state is determined solely by whether completedAt is null or set.</w:t>
      </w:r>
    </w:p>
    <w:p>
      <w:pPr>
        <w:pStyle w:val="Heading2"/>
        <w:spacing w:after="160" w:before="280"/>
      </w:pPr>
      <w:r>
        <w:rPr>
          <w:rFonts w:ascii="Roboto Flex" w:cs="Roboto Flex" w:eastAsia="Roboto Flex" w:hAnsi="Roboto Flex"/>
          <w:b/>
          <w:bCs/>
          <w:color w:val="262F27"/>
          <w:sz w:val="24"/>
          <w:szCs w:val="24"/>
        </w:rPr>
        <w:t xml:space="preserve">11.1 Core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Call | WhatsApp | Viber | Email | Note | Task | SystemEvent. SystemEvent is auto-generated (e.g. "Deal moved to Negotiation"). Task identity is determined by type = Task.</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direction</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Inbound | Outbound. Applicable to Call, WhatsApp, Viber, Email types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parentType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 | Property | Request | Deal | Showing. Primary polymorphic discriminator.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parentId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to the primary parent entity.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relatedContactId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Optional cross-reference. Allows the activity to appear in the Contact’s timeline even when the primary parent is a Deal or Property.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relatedPropertyId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Optional cross-reference. Allows cross-entity timeline visibility.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relatedDealId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Deal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Optional cross-reference. Allows cross-entity timeline visibility.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userId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Who logged this activity or who the task is assigned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summary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Brief description. For system events, auto-generated.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body</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Extended notes. Optional for calls, required for emails.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occurredAt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When the interaction happened (past) or when the task is due (future).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completedAt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Null = pending task (when type = Task). Set = completed. Used to differentiate pending tasks from completed log entries.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reminderAt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If type = Task: when to trigger a reminder notification.</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Activities do not have a deletedAt field. They are historical records and audit trail entries. System-generated activities should never be deletable. Agent-logged activities can be edited (updating updatedAt) but not deleted.</w:t>
      </w:r>
    </w:p>
    <w:p>
      <w:pPr>
        <w:spacing w:after="120" w:before="120"/>
      </w:pPr>
      <w:r>
        <w:rPr>
          <w:rFonts w:ascii="Manrope" w:cs="Manrope" w:eastAsia="Manrope" w:hAnsi="Manrope"/>
          <w:sz w:val="20"/>
          <w:szCs w:val="20"/>
        </w:rPr>
        <w:t xml:space="preserve">When rendering an entity’s timeline, query both parentId = entityId AND any of the three related fields (relatedContactId, relatedPropertyId, relatedDealId) matching that entity. The primary parent is the "home" for the activity; the related fields are cross-references.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BEST PRACTICE</w:t>
            </w:r>
          </w:p>
          <w:p>
            <w:pPr>
              <w:spacing w:before="0"/>
            </w:pPr>
            <w:r>
              <w:rPr>
                <w:rFonts w:ascii="Manrope" w:cs="Manrope" w:eastAsia="Manrope" w:hAnsi="Manrope"/>
                <w:color w:val="333333"/>
                <w:sz w:val="19"/>
                <w:szCs w:val="19"/>
              </w:rPr>
              <w:t xml:space="preserve">System-generated activities (stage transitions, mandate expiry alerts, match notifications) should be created automatically by the application layer, not by users. Consider a createSystemActivity() service function that bypasses user-facing validation.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8C7C" w:sz="1"/>
              <w:left w:val="single" w:color="7B8C7C" w:sz="6"/>
              <w:bottom w:val="single" w:color="7B8C7C" w:sz="1"/>
              <w:right w:val="single" w:color="7B8C7C" w:sz="1"/>
            </w:tcBorders>
            <w:shd w:fill="F2EFE9" w:val="clear"/>
            <w:tcMar>
              <w:top w:type="dxa" w:w="100"/>
              <w:left w:type="dxa" w:w="160"/>
              <w:bottom w:type="dxa" w:w="100"/>
              <w:right w:type="dxa" w:w="160"/>
            </w:tcMar>
          </w:tcPr>
          <w:p>
            <w:pPr>
              <w:spacing w:after="60"/>
            </w:pPr>
            <w:r>
              <w:rPr>
                <w:rFonts w:ascii="Roboto Flex" w:cs="Roboto Flex" w:eastAsia="Roboto Flex" w:hAnsi="Roboto Flex"/>
                <w:b/>
                <w:bCs/>
                <w:color w:val="7B8C7C"/>
                <w:sz w:val="18"/>
                <w:szCs w:val="18"/>
              </w:rPr>
              <w:t xml:space="preserve">NOTE</w:t>
            </w:r>
          </w:p>
          <w:p>
            <w:pPr>
              <w:spacing w:before="0"/>
            </w:pPr>
            <w:r>
              <w:rPr>
                <w:rFonts w:ascii="Manrope" w:cs="Manrope" w:eastAsia="Manrope" w:hAnsi="Manrope"/>
                <w:color w:val="333333"/>
                <w:sz w:val="19"/>
                <w:szCs w:val="19"/>
              </w:rPr>
              <w:t xml:space="preserve">The Activity log covers external interactions with clients and contacts. For internal team messaging, the existing real-time messaging module (Ably) remains separate.</w:t>
            </w:r>
          </w:p>
        </w:tc>
      </w:tr>
    </w:tbl>
    <w:p>
      <w:r>
        <w:br w:type="page"/>
      </w:r>
    </w:p>
    <w:p>
      <w:pPr>
        <w:spacing w:after="80" w:before="400"/>
      </w:pPr>
      <w:r>
        <w:rPr>
          <w:rFonts w:ascii="Roboto Flex" w:cs="Roboto Flex" w:eastAsia="Roboto Flex" w:hAnsi="Roboto Flex"/>
          <w:color w:val="7B8C7C"/>
          <w:spacing w:val="120"/>
          <w:sz w:val="18"/>
          <w:szCs w:val="18"/>
        </w:rPr>
        <w:t xml:space="preserve">12 — JOIN TABLES &amp; RELATIONSHIP ENTITIES</w:t>
      </w:r>
    </w:p>
    <w:p>
      <w:pPr>
        <w:pStyle w:val="Heading1"/>
        <w:spacing w:after="200" w:before="360"/>
      </w:pPr>
      <w:r>
        <w:rPr>
          <w:rFonts w:ascii="Roboto Flex" w:cs="Roboto Flex" w:eastAsia="Roboto Flex" w:hAnsi="Roboto Flex"/>
          <w:b/>
          <w:bCs/>
          <w:color w:val="262F27"/>
          <w:sz w:val="28"/>
          <w:szCs w:val="28"/>
        </w:rPr>
        <w:t xml:space="preserve">12. Join Tables &amp; Relationship Entities</w:t>
      </w:r>
    </w:p>
    <w:p>
      <w:pPr>
        <w:spacing w:after="120" w:before="120"/>
      </w:pPr>
      <w:r>
        <w:rPr>
          <w:rFonts w:ascii="Manrope" w:cs="Manrope" w:eastAsia="Manrope" w:hAnsi="Manrope"/>
          <w:sz w:val="20"/>
          <w:szCs w:val="20"/>
        </w:rPr>
        <w:t xml:space="preserve">This section defines all join tables and relationship entities introduced in v2.0. These replace array FK fields and JSON arrays from v1.0, providing referential integrity, cascade-safe deletion, and efficient reverse queries.</w:t>
      </w:r>
    </w:p>
    <w:p>
      <w:pPr>
        <w:pStyle w:val="Heading2"/>
        <w:spacing w:after="160" w:before="280"/>
      </w:pPr>
      <w:r>
        <w:rPr>
          <w:rFonts w:ascii="Roboto Flex" w:cs="Roboto Flex" w:eastAsia="Roboto Flex" w:hAnsi="Roboto Flex"/>
          <w:b/>
          <w:bCs/>
          <w:color w:val="262F27"/>
          <w:sz w:val="24"/>
          <w:szCs w:val="24"/>
        </w:rPr>
        <w:t xml:space="preserve">12.1 ContactRelationship</w:t>
      </w:r>
    </w:p>
    <w:p>
      <w:pPr>
        <w:spacing w:after="120" w:before="120"/>
      </w:pPr>
      <w:r>
        <w:rPr>
          <w:rFonts w:ascii="Manrope" w:cs="Manrope" w:eastAsia="Manrope" w:hAnsi="Manrope"/>
          <w:sz w:val="20"/>
          <w:szCs w:val="20"/>
        </w:rPr>
        <w:t xml:space="preserve">Self-referential many-to-many for contacts. Replaces the v1.0 relatedContactIds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Multi-tenancy scope.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First contact in the relationship.</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contactIdB</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Second contact in the relationship.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relationshipType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Spouse | CoBuyer | CoOwner | Employer | Parent | Child | Colleague | LegalRepresentative | Other.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notes</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DB constraints: CHECK (contactIdA ≠ contactIdB). Unique composite on (organizationId, contactIdA, contactIdB, relationshipType). Relationships are bidirectional by convention — query both directions. No reciprocal row needed; the application layer handles symmetry.</w:t>
      </w:r>
    </w:p>
    <w:p>
      <w:pPr>
        <w:pStyle w:val="Heading2"/>
        <w:spacing w:after="160" w:before="280"/>
      </w:pPr>
      <w:r>
        <w:rPr>
          <w:rFonts w:ascii="Roboto Flex" w:cs="Roboto Flex" w:eastAsia="Roboto Flex" w:hAnsi="Roboto Flex"/>
          <w:b/>
          <w:bCs/>
          <w:color w:val="262F27"/>
          <w:sz w:val="24"/>
          <w:szCs w:val="24"/>
        </w:rPr>
        <w:t xml:space="preserve">12.2 PropertyCoOwner</w:t>
      </w:r>
    </w:p>
    <w:p>
      <w:pPr>
        <w:spacing w:after="120" w:before="120"/>
      </w:pPr>
      <w:r>
        <w:rPr>
          <w:rFonts w:ascii="Manrope" w:cs="Manrope" w:eastAsia="Manrope" w:hAnsi="Manrope"/>
          <w:sz w:val="20"/>
          <w:szCs w:val="20"/>
        </w:rPr>
        <w:t xml:space="preserve">Many-to-many for property co-ownership. The primary ownerId on Property is the mandate signatory — the contact who authorized the agency to list. This contact also appears in this table with their ownership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ownershipSharePct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Ownership percentage. All shares for a property must sum to exactly 100.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DB constraint: CHECK that SUM(ownershipSharePct) for a given propertyId = 100. For sole owners, one row exists at 100%. The primary ownerId on Property is a convenience denormalization pointing to the mandate signatory, not a separate ownership source.</w:t>
      </w:r>
    </w:p>
    <w:p>
      <w:pPr>
        <w:pStyle w:val="Heading2"/>
        <w:spacing w:after="160" w:before="280"/>
      </w:pPr>
      <w:r>
        <w:rPr>
          <w:rFonts w:ascii="Roboto Flex" w:cs="Roboto Flex" w:eastAsia="Roboto Flex" w:hAnsi="Roboto Flex"/>
          <w:b/>
          <w:bCs/>
          <w:color w:val="262F27"/>
          <w:sz w:val="24"/>
          <w:szCs w:val="24"/>
        </w:rPr>
        <w:t xml:space="preserve">12.3 DealParty</w:t>
      </w:r>
    </w:p>
    <w:p>
      <w:pPr>
        <w:spacing w:after="120" w:before="120"/>
      </w:pPr>
      <w:r>
        <w:rPr>
          <w:rFonts w:ascii="Manrope" w:cs="Manrope" w:eastAsia="Manrope" w:hAnsi="Manrope"/>
          <w:sz w:val="20"/>
          <w:szCs w:val="20"/>
        </w:rPr>
        <w:t xml:space="preserve">Many-to-many for deal participants. Replaces v1.0 buyerId and sellerId single FK fields. Mirrors notarial contract structure for multi-party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dealId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Deal</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role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Buyer | Seller | CoBuyer | CoSeller | LegalRepresentative | Guarantor.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ownershipSharePct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Only applicable to Buyer/CoBuyer/Seller/CoSeller roles. Nullable for LegalRepresentative and Guarantor.</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Convenience: the primary buyer is the first party with role = Buyer. The primary seller is the first party with role = Seller. The application layer may provide computed accessors for these.</w:t>
      </w:r>
    </w:p>
    <w:p>
      <w:pPr>
        <w:pStyle w:val="Heading2"/>
        <w:spacing w:after="160" w:before="280"/>
      </w:pPr>
      <w:r>
        <w:rPr>
          <w:rFonts w:ascii="Roboto Flex" w:cs="Roboto Flex" w:eastAsia="Roboto Flex" w:hAnsi="Roboto Flex"/>
          <w:b/>
          <w:bCs/>
          <w:color w:val="262F27"/>
          <w:sz w:val="24"/>
          <w:szCs w:val="24"/>
        </w:rPr>
        <w:t xml:space="preserve">12.4 PropertyRequestMatch</w:t>
      </w:r>
    </w:p>
    <w:p>
      <w:pPr>
        <w:spacing w:after="120" w:before="120"/>
      </w:pPr>
      <w:r>
        <w:rPr>
          <w:rFonts w:ascii="Manrope" w:cs="Manrope" w:eastAsia="Manrope" w:hAnsi="Manrope"/>
          <w:sz w:val="20"/>
          <w:szCs w:val="20"/>
        </w:rPr>
        <w:t xml:space="preserve">Many-to-many for Polis matchmaking results. Replaces v1.0 matchedPropertyIds and dismissedPropertyIds arrays on Request. This is the core of the Polis feedback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organizationId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Org</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requestId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Request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matchScore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Float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0–100, computed by Polis.</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matchMethod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RuleBased | AI. Future-proofs the V1 → V2 transition.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Pending | Presented | Interested | Dismissed.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presentedAt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When agent showed match to 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dismissedAt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When match was dismissed.</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dismissalReason</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PriceTooHigh | WrongLocation | WrongType | ClientDeclined | Other.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updatedAt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Auto</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The status field provides Polis a feedback loop: dismissed matches with reasons improve future scoring. The matchMethod field allows V1 rule-based results and future V2 AI results to coexist in the same table.</w:t>
      </w:r>
    </w:p>
    <w:p>
      <w:pPr>
        <w:pStyle w:val="Heading2"/>
        <w:spacing w:after="160" w:before="280"/>
      </w:pPr>
      <w:r>
        <w:rPr>
          <w:rFonts w:ascii="Roboto Flex" w:cs="Roboto Flex" w:eastAsia="Roboto Flex" w:hAnsi="Roboto Flex"/>
          <w:b/>
          <w:bCs/>
          <w:color w:val="262F27"/>
          <w:sz w:val="24"/>
          <w:szCs w:val="24"/>
        </w:rPr>
        <w:t xml:space="preserve">12.5 PriceChange</w:t>
      </w:r>
    </w:p>
    <w:p>
      <w:pPr>
        <w:spacing w:after="120" w:before="120"/>
      </w:pPr>
      <w:r>
        <w:rPr>
          <w:rFonts w:ascii="Manrope" w:cs="Manrope" w:eastAsia="Manrope" w:hAnsi="Manrope"/>
          <w:sz w:val="20"/>
          <w:szCs w:val="20"/>
        </w:rPr>
        <w:t xml:space="preserve">Audit log for property asking price changes. Replaces v1.0 priceHistory JSON array and originalAskingPrice field. The first record serves as the original asking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propertyId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Property</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previousPrice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 Null for the first record (initial listing price).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newPrice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Integer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changedAt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changedByUserId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reason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Agent’s reason for price change.</w:t>
            </w:r>
          </w:p>
        </w:tc>
      </w:tr>
    </w:tbl>
    <w:p>
      <w:pPr>
        <w:pStyle w:val="Heading2"/>
        <w:spacing w:after="160" w:before="280"/>
      </w:pPr>
      <w:r>
        <w:rPr>
          <w:rFonts w:ascii="Roboto Flex" w:cs="Roboto Flex" w:eastAsia="Roboto Flex" w:hAnsi="Roboto Flex"/>
          <w:b/>
          <w:bCs/>
          <w:color w:val="262F27"/>
          <w:sz w:val="24"/>
          <w:szCs w:val="24"/>
        </w:rPr>
        <w:t xml:space="preserve">12.6 DealStageLog</w:t>
      </w:r>
    </w:p>
    <w:p>
      <w:pPr>
        <w:spacing w:after="120" w:before="120"/>
      </w:pPr>
      <w:r>
        <w:rPr>
          <w:rFonts w:ascii="Manrope" w:cs="Manrope" w:eastAsia="Manrope" w:hAnsi="Manrope"/>
          <w:sz w:val="20"/>
          <w:szCs w:val="20"/>
        </w:rPr>
        <w:t xml:space="preserve">Audit log for deal pipeline stage transitions. Replaces v1.0 stageHistory JSON array. Provides indexed timestamps for time-in-stage analytics and funnel conversion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526"/>
      </w:tblGrid>
      <w:tr>
        <w:trPr>
          <w:tblHeader/>
        </w:trPr>
        <w:tc>
          <w:tcPr>
            <w:tcW w:type="dxa" w:w="2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15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45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UUID / CUID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dealId</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Deal</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fromStage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Nullable for initial creation (first entry has no fromStage).</w:t>
            </w: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toStage</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stage the deal moved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changedByUserId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changedAt</w:t>
            </w:r>
          </w:p>
        </w:tc>
        <w:tc>
          <w:tcPr>
            <w:tcW w:type="dxa" w:w="15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DateTime</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45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notes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Reason for transition, especially for FallenThrough.</w:t>
            </w:r>
          </w:p>
        </w:tc>
      </w:tr>
    </w:tbl>
    <w:p>
      <w:pPr>
        <w:pStyle w:val="Heading2"/>
        <w:spacing w:after="160" w:before="280"/>
      </w:pPr>
      <w:r>
        <w:rPr>
          <w:rFonts w:ascii="Roboto Flex" w:cs="Roboto Flex" w:eastAsia="Roboto Flex" w:hAnsi="Roboto Flex"/>
          <w:b/>
          <w:bCs/>
          <w:color w:val="262F27"/>
          <w:sz w:val="24"/>
          <w:szCs w:val="24"/>
        </w:rPr>
        <w:t xml:space="preserve">12.7 CalendarEventAgent</w:t>
      </w:r>
    </w:p>
    <w:p>
      <w:pPr>
        <w:spacing w:after="120" w:before="120"/>
      </w:pPr>
      <w:r>
        <w:rPr>
          <w:rFonts w:ascii="Manrope" w:cs="Manrope" w:eastAsia="Manrope" w:hAnsi="Manrope"/>
          <w:sz w:val="20"/>
          <w:szCs w:val="20"/>
        </w:rPr>
        <w:t xml:space="preserve">Many-to-many for agents attending calendar events. Replaces v1.0 assignedAgentIds array FK.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800"/>
        <w:gridCol w:w="3226"/>
      </w:tblGrid>
      <w:tr>
        <w:trPr>
          <w:tblHeader/>
        </w:trPr>
        <w:tc>
          <w:tcPr>
            <w:tcW w:type="dxa" w:w="3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32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calendarEventId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CalendarEvent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3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userId</w:t>
            </w:r>
          </w:p>
        </w:tc>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User</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Lead | Attending.</w:t>
            </w:r>
          </w:p>
        </w:tc>
      </w:tr>
    </w:tbl>
    <w:p>
      <w:pPr>
        <w:spacing w:after="120" w:before="120"/>
      </w:pPr>
      <w:r>
        <w:rPr>
          <w:rFonts w:ascii="Manrope" w:cs="Manrope" w:eastAsia="Manrope" w:hAnsi="Manrope"/>
          <w:sz w:val="20"/>
          <w:szCs w:val="20"/>
        </w:rPr>
        <w:t xml:space="preserve">Composite primary key: (calendarEventId, userId).</w:t>
      </w:r>
    </w:p>
    <w:p>
      <w:pPr>
        <w:pStyle w:val="Heading2"/>
        <w:spacing w:after="160" w:before="280"/>
      </w:pPr>
      <w:r>
        <w:rPr>
          <w:rFonts w:ascii="Roboto Flex" w:cs="Roboto Flex" w:eastAsia="Roboto Flex" w:hAnsi="Roboto Flex"/>
          <w:b/>
          <w:bCs/>
          <w:color w:val="262F27"/>
          <w:sz w:val="24"/>
          <w:szCs w:val="24"/>
        </w:rPr>
        <w:t xml:space="preserve">12.8 CalendarEventContact</w:t>
      </w:r>
    </w:p>
    <w:p>
      <w:pPr>
        <w:spacing w:after="120" w:before="120"/>
      </w:pPr>
      <w:r>
        <w:rPr>
          <w:rFonts w:ascii="Manrope" w:cs="Manrope" w:eastAsia="Manrope" w:hAnsi="Manrope"/>
          <w:sz w:val="20"/>
          <w:szCs w:val="20"/>
        </w:rPr>
        <w:t xml:space="preserve">Many-to-many for external contacts attending calendar events. Replaces v1.0 contactIds array FK.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800"/>
        <w:gridCol w:w="3226"/>
      </w:tblGrid>
      <w:tr>
        <w:trPr>
          <w:tblHeader/>
        </w:trPr>
        <w:tc>
          <w:tcPr>
            <w:tcW w:type="dxa" w:w="3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32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calendarEventId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CalendarEvent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3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w:t>
            </w:r>
          </w:p>
        </w:tc>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bl>
    <w:p>
      <w:pPr>
        <w:spacing w:after="120" w:before="120"/>
      </w:pPr>
      <w:r>
        <w:rPr>
          <w:rFonts w:ascii="Manrope" w:cs="Manrope" w:eastAsia="Manrope" w:hAnsi="Manrope"/>
          <w:sz w:val="20"/>
          <w:szCs w:val="20"/>
        </w:rPr>
        <w:t xml:space="preserve">Composite primary key: (calendarEventId, contactId).</w:t>
      </w:r>
    </w:p>
    <w:p>
      <w:pPr>
        <w:pStyle w:val="Heading2"/>
        <w:spacing w:after="160" w:before="280"/>
      </w:pPr>
      <w:r>
        <w:rPr>
          <w:rFonts w:ascii="Roboto Flex" w:cs="Roboto Flex" w:eastAsia="Roboto Flex" w:hAnsi="Roboto Flex"/>
          <w:b/>
          <w:bCs/>
          <w:color w:val="262F27"/>
          <w:sz w:val="24"/>
          <w:szCs w:val="24"/>
        </w:rPr>
        <w:t xml:space="preserve">12.9 ShowingAttendee</w:t>
      </w:r>
    </w:p>
    <w:p>
      <w:pPr>
        <w:spacing w:after="120" w:before="120"/>
      </w:pPr>
      <w:r>
        <w:rPr>
          <w:rFonts w:ascii="Manrope" w:cs="Manrope" w:eastAsia="Manrope" w:hAnsi="Manrope"/>
          <w:sz w:val="20"/>
          <w:szCs w:val="20"/>
        </w:rPr>
        <w:t xml:space="preserve">Many-to-many for showing attendees. The primaryContactId on Showing is a convenience FK for the main buyer/tenant; this table captures all attendees with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800"/>
        <w:gridCol w:w="3226"/>
      </w:tblGrid>
      <w:tr>
        <w:trPr>
          <w:tblHeader/>
        </w:trPr>
        <w:tc>
          <w:tcPr>
            <w:tcW w:type="dxa" w:w="3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Field Name</w:t>
            </w:r>
          </w:p>
        </w:tc>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Type</w:t>
            </w:r>
          </w:p>
        </w:tc>
        <w:tc>
          <w:tcPr>
            <w:tcW w:type="dxa" w:w="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Req?</w:t>
            </w:r>
          </w:p>
        </w:tc>
        <w:tc>
          <w:tcPr>
            <w:tcW w:type="dxa" w:w="32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Notes / 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showingId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Showing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p>
        </w:tc>
      </w:tr>
      <w:tr>
        <w:tc>
          <w:tcPr>
            <w:tcW w:type="dxa" w:w="3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contactId</w:t>
            </w:r>
          </w:p>
        </w:tc>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FK → Contact</w:t>
            </w:r>
          </w:p>
        </w:tc>
        <w:tc>
          <w:tcPr>
            <w:tcW w:type="dxa" w:w="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b/>
                <w:bCs/>
                <w:sz w:val="18"/>
                <w:szCs w:val="18"/>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Yes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PrimaryBuyer | CoBuyer | Lawyer | Representative | Other.</w:t>
            </w:r>
          </w:p>
        </w:tc>
      </w:tr>
    </w:tbl>
    <w:p>
      <w:pPr>
        <w:spacing w:after="120" w:before="120"/>
      </w:pPr>
      <w:r>
        <w:rPr>
          <w:rFonts w:ascii="Manrope" w:cs="Manrope" w:eastAsia="Manrope" w:hAnsi="Manrope"/>
          <w:sz w:val="20"/>
          <w:szCs w:val="20"/>
        </w:rPr>
        <w:t xml:space="preserve">Composite primary key: (showingId, contactId).</w:t>
      </w:r>
    </w:p>
    <w:p>
      <w:r>
        <w:br w:type="page"/>
      </w:r>
    </w:p>
    <w:p>
      <w:pPr>
        <w:spacing w:after="80" w:before="400"/>
      </w:pPr>
      <w:r>
        <w:rPr>
          <w:rFonts w:ascii="Roboto Flex" w:cs="Roboto Flex" w:eastAsia="Roboto Flex" w:hAnsi="Roboto Flex"/>
          <w:color w:val="7B8C7C"/>
          <w:spacing w:val="120"/>
          <w:sz w:val="18"/>
          <w:szCs w:val="18"/>
        </w:rPr>
        <w:t xml:space="preserve">13 — CROSS-CUTTING CONCERNS</w:t>
      </w:r>
    </w:p>
    <w:p>
      <w:pPr>
        <w:pStyle w:val="Heading1"/>
        <w:spacing w:after="200" w:before="360"/>
      </w:pPr>
      <w:r>
        <w:rPr>
          <w:rFonts w:ascii="Roboto Flex" w:cs="Roboto Flex" w:eastAsia="Roboto Flex" w:hAnsi="Roboto Flex"/>
          <w:b/>
          <w:bCs/>
          <w:color w:val="262F27"/>
          <w:sz w:val="28"/>
          <w:szCs w:val="28"/>
        </w:rPr>
        <w:t xml:space="preserve">13. Cross-Cutting Concerns</w:t>
      </w:r>
    </w:p>
    <w:p>
      <w:pPr>
        <w:spacing w:after="120" w:before="120"/>
      </w:pPr>
      <w:r>
        <w:rPr>
          <w:rFonts w:ascii="Manrope" w:cs="Manrope" w:eastAsia="Manrope" w:hAnsi="Manrope"/>
          <w:sz w:val="20"/>
          <w:szCs w:val="20"/>
        </w:rPr>
        <w:t xml:space="preserve">The following concerns apply across all entities and should be addressed consistently at the data layer.</w:t>
      </w:r>
    </w:p>
    <w:p>
      <w:pPr>
        <w:pStyle w:val="Heading2"/>
        <w:spacing w:after="160" w:before="280"/>
      </w:pPr>
      <w:r>
        <w:rPr>
          <w:rFonts w:ascii="Roboto Flex" w:cs="Roboto Flex" w:eastAsia="Roboto Flex" w:hAnsi="Roboto Flex"/>
          <w:b/>
          <w:bCs/>
          <w:color w:val="262F27"/>
          <w:sz w:val="24"/>
          <w:szCs w:val="24"/>
        </w:rPr>
        <w:t xml:space="preserve">13.1 Multi-Tenancy</w:t>
      </w:r>
    </w:p>
    <w:p>
      <w:pPr>
        <w:spacing w:after="120" w:before="120"/>
      </w:pPr>
      <w:r>
        <w:rPr>
          <w:rFonts w:ascii="Manrope" w:cs="Manrope" w:eastAsia="Manrope" w:hAnsi="Manrope"/>
          <w:sz w:val="20"/>
          <w:szCs w:val="20"/>
        </w:rPr>
        <w:t xml:space="preserve">Every entity has an organizationId field. All queries must be scoped to the authenticated user’s organizationId. This should be enforced at the ORM/service layer, not only in individual query predicates. Consider a middleware or base repository pattern that injects the org scope automatically.</w:t>
      </w:r>
    </w:p>
    <w:p>
      <w:pPr>
        <w:pStyle w:val="Heading2"/>
        <w:spacing w:after="160" w:before="280"/>
      </w:pPr>
      <w:r>
        <w:rPr>
          <w:rFonts w:ascii="Roboto Flex" w:cs="Roboto Flex" w:eastAsia="Roboto Flex" w:hAnsi="Roboto Flex"/>
          <w:b/>
          <w:bCs/>
          <w:color w:val="262F27"/>
          <w:sz w:val="24"/>
          <w:szCs w:val="24"/>
        </w:rPr>
        <w:t xml:space="preserve">13.2 Soft Deletes</w:t>
      </w:r>
    </w:p>
    <w:p>
      <w:pPr>
        <w:spacing w:after="120" w:before="120"/>
      </w:pPr>
      <w:r>
        <w:rPr>
          <w:rFonts w:ascii="Manrope" w:cs="Manrope" w:eastAsia="Manrope" w:hAnsi="Manrope"/>
          <w:sz w:val="20"/>
          <w:szCs w:val="20"/>
        </w:rPr>
        <w:t xml:space="preserve">Primary entities with user-facing lifecycle use a deletedAt timestamp (null = active): Contacts, Properties, Requests, Deals, Calendar Events, Document Records, Document Templates. Hard deletion should not occur on any entity that has been part of a transaction or has associated documents.</w:t>
      </w:r>
    </w:p>
    <w:p>
      <w:pPr>
        <w:spacing w:after="120" w:before="120"/>
      </w:pPr>
      <w:r>
        <w:rPr>
          <w:rFonts w:ascii="Manrope" w:cs="Manrope" w:eastAsia="Manrope" w:hAnsi="Manrope"/>
          <w:sz w:val="20"/>
          <w:szCs w:val="20"/>
        </w:rPr>
        <w:t xml:space="preserve">Historical / audit entities do NOT use soft deletes: Showings, Activities, DealStageLog, PriceChange, join tables. These are historical records and audit trail entries. A cancelled showing is recorded with status = Cancelled; a completed activity is never deleted.</w:t>
      </w:r>
    </w:p>
    <w:p>
      <w:pPr>
        <w:spacing w:after="120" w:before="120"/>
      </w:pPr>
      <w:r>
        <w:rPr>
          <w:rFonts w:ascii="Manrope" w:cs="Manrope" w:eastAsia="Manrope" w:hAnsi="Manrope"/>
          <w:sz w:val="20"/>
          <w:szCs w:val="20"/>
        </w:rPr>
        <w:t xml:space="preserve">The developer should define retention rules: contacts and properties linked to completed deals should never be hard-deleted, even if deletedAt is set.</w:t>
      </w:r>
    </w:p>
    <w:p>
      <w:pPr>
        <w:pStyle w:val="Heading2"/>
        <w:spacing w:after="160" w:before="280"/>
      </w:pPr>
      <w:r>
        <w:rPr>
          <w:rFonts w:ascii="Roboto Flex" w:cs="Roboto Flex" w:eastAsia="Roboto Flex" w:hAnsi="Roboto Flex"/>
          <w:b/>
          <w:bCs/>
          <w:color w:val="262F27"/>
          <w:sz w:val="24"/>
          <w:szCs w:val="24"/>
        </w:rPr>
        <w:t xml:space="preserve">13.3 Timestamps</w:t>
      </w:r>
    </w:p>
    <w:p>
      <w:pPr>
        <w:spacing w:after="120" w:before="120"/>
      </w:pPr>
      <w:r>
        <w:rPr>
          <w:rFonts w:ascii="Manrope" w:cs="Manrope" w:eastAsia="Manrope" w:hAnsi="Manrope"/>
          <w:sz w:val="20"/>
          <w:szCs w:val="20"/>
        </w:rPr>
        <w:t xml:space="preserve">All entities carry createdAt and updatedAt as server-generated timestamps (except join tables with composite PKs, which carry only createdAt). These should not be client-supplied. For entities where audit precision matters (Deal, Document Record), consider also storing createdByUserId and updatedByUserId.</w:t>
      </w:r>
    </w:p>
    <w:p>
      <w:pPr>
        <w:pStyle w:val="Heading2"/>
        <w:spacing w:after="160" w:before="280"/>
      </w:pPr>
      <w:r>
        <w:rPr>
          <w:rFonts w:ascii="Roboto Flex" w:cs="Roboto Flex" w:eastAsia="Roboto Flex" w:hAnsi="Roboto Flex"/>
          <w:b/>
          <w:bCs/>
          <w:color w:val="262F27"/>
          <w:sz w:val="24"/>
          <w:szCs w:val="24"/>
        </w:rPr>
        <w:t xml:space="preserve">13.4 GDPR Compliance</w:t>
      </w:r>
    </w:p>
    <w:p>
      <w:pPr>
        <w:spacing w:after="120" w:before="120"/>
      </w:pPr>
      <w:r>
        <w:rPr>
          <w:rFonts w:ascii="Manrope" w:cs="Manrope" w:eastAsia="Manrope" w:hAnsi="Manrope"/>
          <w:sz w:val="20"/>
          <w:szCs w:val="20"/>
        </w:rPr>
        <w:t xml:space="preserve">Contacts with gdprConsentGiven = false must not be targeted by automated outreach. Sensitive fields (taxId / ΑΦΜ) should be considered for AES-256-GCM application-level encryption. Unencrypted hashes can be used for lookup/filter while the raw value remains encrypted. On contact deletion (deletedAt set), consider a data minimisation process: strip PII fields after a retention period, retaining only anonymised transaction records. The platform’s sub-processor annex (Vercel, Clerk, Ably, PostHog, OpenAI, Anthropic, Resend, Stripe, Prisma) is already documented in the tester agreement Annex A.</w:t>
      </w:r>
    </w:p>
    <w:p>
      <w:pPr>
        <w:pStyle w:val="Heading2"/>
        <w:spacing w:after="160" w:before="280"/>
      </w:pPr>
      <w:r>
        <w:rPr>
          <w:rFonts w:ascii="Roboto Flex" w:cs="Roboto Flex" w:eastAsia="Roboto Flex" w:hAnsi="Roboto Flex"/>
          <w:b/>
          <w:bCs/>
          <w:color w:val="262F27"/>
          <w:sz w:val="24"/>
          <w:szCs w:val="24"/>
        </w:rPr>
        <w:t xml:space="preserve">13.5 Indexing Recommendations</w:t>
      </w:r>
    </w:p>
    <w:p>
      <w:pPr>
        <w:spacing w:after="120" w:before="120"/>
      </w:pPr>
      <w:r>
        <w:rPr>
          <w:rFonts w:ascii="Manrope" w:cs="Manrope" w:eastAsia="Manrope" w:hAnsi="Manrope"/>
          <w:sz w:val="20"/>
          <w:szCs w:val="20"/>
        </w:rPr>
        <w:t xml:space="preserve">The following fields are high-priority index candidates given expected query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Index Target</w:t>
            </w:r>
          </w:p>
        </w:tc>
        <w:tc>
          <w:tcPr>
            <w:tcW w:type="dxa" w:w="50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Rationale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organizationId on every table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Multi-tenancy scope</w:t>
            </w:r>
          </w:p>
        </w:tc>
      </w:tr>
      <w:tr>
        <w:tc>
          <w:tcPr>
            <w:tcW w:type="dxa" w:w="4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status on Properties, Contacts, Requests, Deals</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Frequent filter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assignedAgentId on Properties, Contacts, Requests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Agent dashboard</w:t>
            </w:r>
          </w:p>
        </w:tc>
      </w:tr>
      <w:tr>
        <w:tc>
          <w:tcPr>
            <w:tcW w:type="dxa" w:w="4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dealId, propertyId, contactId on Showings and Activities</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Entity timeline queries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parentType + parentId composite on Activities and Document Records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Polymorphic lookup</w:t>
            </w:r>
          </w:p>
        </w:tc>
      </w:tr>
      <w:tr>
        <w:tc>
          <w:tcPr>
            <w:tcW w:type="dxa" w:w="4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mandateEndDate on Properties</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Expiry alert queries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deletedAt on all soft-delete entities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Partial index WHERE deletedAt IS NULL</w:t>
            </w:r>
          </w:p>
        </w:tc>
      </w:tr>
      <w:tr>
        <w:tc>
          <w:tcPr>
            <w:tcW w:type="dxa" w:w="4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propertyId + requestId on PropertyRequestMatch</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Matchmaking queries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dealId + toStage on DealStageLog</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Pipeline analytics</w:t>
            </w:r>
          </w:p>
        </w:tc>
      </w:tr>
      <w:tr>
        <w:tc>
          <w:tcPr>
            <w:tcW w:type="dxa" w:w="4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location (GiST) on Property</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Spatial queries via PostGIS</w:t>
            </w:r>
          </w:p>
        </w:tc>
      </w:tr>
    </w:tbl>
    <w:p>
      <w:pPr>
        <w:pStyle w:val="Heading2"/>
        <w:spacing w:after="160" w:before="280"/>
      </w:pPr>
      <w:r>
        <w:rPr>
          <w:rFonts w:ascii="Roboto Flex" w:cs="Roboto Flex" w:eastAsia="Roboto Flex" w:hAnsi="Roboto Flex"/>
          <w:b/>
          <w:bCs/>
          <w:color w:val="262F27"/>
          <w:sz w:val="24"/>
          <w:szCs w:val="24"/>
        </w:rPr>
        <w:t xml:space="preserve">13.6 Soft-Delete Protection Rules</w:t>
      </w:r>
    </w:p>
    <w:p>
      <w:pPr>
        <w:spacing w:after="120" w:before="120"/>
      </w:pPr>
      <w:r>
        <w:rPr>
          <w:rFonts w:ascii="Manrope" w:cs="Manrope" w:eastAsia="Manrope" w:hAnsi="Manrope"/>
          <w:sz w:val="20"/>
          <w:szCs w:val="20"/>
        </w:rPr>
        <w:t xml:space="preserve">The following business rules prevent soft-deletion of entities that are actively referenced. Enforcement at the service layer — the application returns a clear error listing the blocking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Entity</w:t>
            </w:r>
          </w:p>
        </w:tc>
        <w:tc>
          <w:tcPr>
            <w:tcW w:type="dxa" w:w="70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Protection 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Cannot be soft-deleted if they are a party (via DealParty) to any Deal with stage not in {Completed, FallenThrough}.</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Contact</w:t>
            </w:r>
          </w:p>
        </w:tc>
        <w:tc>
          <w:tcPr>
            <w:tcW w:type="dxa" w:w="7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Cannot be soft-deleted if they are the sole ownerId on an active Property (status not in {Sold, Rented, Archived}).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Property</w:t>
            </w:r>
          </w:p>
        </w:tc>
        <w:tc>
          <w:tcPr>
            <w:tcW w:type="dxa" w:w="7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Cannot be soft-deleted if it has any Deal with stage not in {Completed, FallenThrough}.</w:t>
            </w:r>
          </w:p>
        </w:tc>
      </w:tr>
      <w:tr>
        <w:tc>
          <w:tcPr>
            <w:tcW w:type="dxa" w:w="2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Deal</w:t>
            </w:r>
          </w:p>
        </w:tc>
        <w:tc>
          <w:tcPr>
            <w:tcW w:type="dxa" w:w="7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Cannot be soft-deleted if stage is not in {Completed, FallenThrough}. Active deals must be moved to FallenThrough first.</w:t>
            </w:r>
          </w:p>
        </w:tc>
      </w:tr>
    </w:tbl>
    <w:p>
      <w:pPr>
        <w:spacing w:after="120" w:before="120"/>
      </w:pPr>
      <w:r>
        <w:rPr>
          <w:rFonts w:ascii="Manrope" w:cs="Manrope" w:eastAsia="Manrope" w:hAnsi="Manrope"/>
          <w:sz w:val="20"/>
          <w:szCs w:val="20"/>
        </w:rPr>
        <w:t xml:space="preserve">Agents must resolve active relationships before archiving. The application should surface specific blocking references in the error message to guide the agent.</w:t>
      </w:r>
    </w:p>
    <w:p>
      <w:pPr>
        <w:pStyle w:val="Heading2"/>
        <w:spacing w:after="160" w:before="280"/>
      </w:pPr>
      <w:r>
        <w:rPr>
          <w:rFonts w:ascii="Roboto Flex" w:cs="Roboto Flex" w:eastAsia="Roboto Flex" w:hAnsi="Roboto Flex"/>
          <w:b/>
          <w:bCs/>
          <w:color w:val="262F27"/>
          <w:sz w:val="24"/>
          <w:szCs w:val="24"/>
        </w:rPr>
        <w:t xml:space="preserve">13.7 Money / Currency Convention</w:t>
      </w:r>
    </w:p>
    <w:p>
      <w:pPr>
        <w:spacing w:after="120" w:before="120"/>
      </w:pPr>
      <w:r>
        <w:rPr>
          <w:rFonts w:ascii="Manrope" w:cs="Manrope" w:eastAsia="Manrope" w:hAnsi="Manrope"/>
          <w:sz w:val="20"/>
          <w:szCs w:val="20"/>
        </w:rPr>
        <w:t xml:space="preserve">All monetary fields across all entities (askingPrice, askingRent, budgetMin, budgetMax, agreedPrice, monthlyRentAmount, securityDeposit, depositAmount, commissionAmount, transferTaxAmount, etc.) must use the same storage convention. This specification uses whole EUR integers (e.g. 150000 = €150,000). If the codebase already uses a different convention (e.g. cents), apply that consistently and ignore the examples in individual field notes. The critical constraint is uniformity — never mix cents and whole euros in the same schema.</w:t>
      </w:r>
    </w:p>
    <w:p>
      <w:pPr>
        <w:pStyle w:val="Heading2"/>
        <w:spacing w:after="160" w:before="280"/>
      </w:pPr>
      <w:r>
        <w:rPr>
          <w:rFonts w:ascii="Roboto Flex" w:cs="Roboto Flex" w:eastAsia="Roboto Flex" w:hAnsi="Roboto Flex"/>
          <w:b/>
          <w:bCs/>
          <w:color w:val="262F27"/>
          <w:sz w:val="24"/>
          <w:szCs w:val="24"/>
        </w:rPr>
        <w:t xml:space="preserve">13.8 Timezone Handling</w:t>
      </w:r>
    </w:p>
    <w:p>
      <w:pPr>
        <w:spacing w:after="120" w:before="120"/>
      </w:pPr>
      <w:r>
        <w:rPr>
          <w:rFonts w:ascii="Manrope" w:cs="Manrope" w:eastAsia="Manrope" w:hAnsi="Manrope"/>
          <w:sz w:val="20"/>
          <w:szCs w:val="20"/>
        </w:rPr>
        <w:t xml:space="preserve">All DateTime fields should be stored as UTC across all entities. Greece operates on EET (UTC+2) in winter and EEST (UTC+3) in summer. Conversion to the local timezone should occur at the presentation layer (UI), not at the data layer. Ensure that user-facing date inputs collect local time and convert to UTC before persistence.</w:t>
      </w:r>
    </w:p>
    <w:p>
      <w:pPr>
        <w:pStyle w:val="Heading2"/>
        <w:spacing w:after="160" w:before="280"/>
      </w:pPr>
      <w:r>
        <w:rPr>
          <w:rFonts w:ascii="Roboto Flex" w:cs="Roboto Flex" w:eastAsia="Roboto Flex" w:hAnsi="Roboto Flex"/>
          <w:b/>
          <w:bCs/>
          <w:color w:val="262F27"/>
          <w:sz w:val="24"/>
          <w:szCs w:val="24"/>
        </w:rPr>
        <w:t xml:space="preserve">13.9 Email Uniqueness Convention</w:t>
      </w:r>
    </w:p>
    <w:p>
      <w:pPr>
        <w:spacing w:after="120" w:before="120"/>
      </w:pPr>
      <w:r>
        <w:rPr>
          <w:rFonts w:ascii="Manrope" w:cs="Manrope" w:eastAsia="Manrope" w:hAnsi="Manrope"/>
          <w:sz w:val="20"/>
          <w:szCs w:val="20"/>
        </w:rPr>
        <w:t xml:space="preserve">Contact email is not enforced as a unique constraint at the database level. Duplicate email addresses within the same organization are permitted (married couples, shared assistants, lawyers representing multiple clients). The application layer implements a soft UI warning: when an agent enters an email that already exists for another contact in the same org, a non-blocking alert is displayed suggesting the duplicate. The agent can proceed or merge contacts as appropriate.</w:t>
      </w:r>
    </w:p>
    <w:p>
      <w:pPr>
        <w:pStyle w:val="Heading2"/>
        <w:spacing w:after="160" w:before="280"/>
      </w:pPr>
      <w:r>
        <w:rPr>
          <w:rFonts w:ascii="Roboto Flex" w:cs="Roboto Flex" w:eastAsia="Roboto Flex" w:hAnsi="Roboto Flex"/>
          <w:b/>
          <w:bCs/>
          <w:color w:val="262F27"/>
          <w:sz w:val="24"/>
          <w:szCs w:val="24"/>
        </w:rPr>
        <w:t xml:space="preserve">13.10 Field Naming Conventions</w:t>
      </w:r>
    </w:p>
    <w:p>
      <w:pPr>
        <w:spacing w:after="120" w:before="120"/>
      </w:pPr>
      <w:r>
        <w:rPr>
          <w:rFonts w:ascii="Manrope" w:cs="Manrope" w:eastAsia="Manrope" w:hAnsi="Manrope"/>
          <w:sz w:val="20"/>
          <w:szCs w:val="20"/>
        </w:rPr>
        <w:t xml:space="preserve">This specification uses camelCase for field names, consistent with the existing Next.js / Prisma codebase conventions. The developer should apply their existing naming patterns — the names here are semantic labels, not prescriptive column names.</w:t>
      </w:r>
    </w:p>
    <w:p>
      <w:r>
        <w:br w:type="page"/>
      </w:r>
    </w:p>
    <w:p>
      <w:pPr>
        <w:spacing w:after="80" w:before="400"/>
      </w:pPr>
      <w:r>
        <w:rPr>
          <w:rFonts w:ascii="Roboto Flex" w:cs="Roboto Flex" w:eastAsia="Roboto Flex" w:hAnsi="Roboto Flex"/>
          <w:color w:val="7B8C7C"/>
          <w:spacing w:val="120"/>
          <w:sz w:val="18"/>
          <w:szCs w:val="18"/>
        </w:rPr>
        <w:t xml:space="preserve">14 — OUT OF SCOPE</w:t>
      </w:r>
    </w:p>
    <w:p>
      <w:pPr>
        <w:pStyle w:val="Heading1"/>
        <w:spacing w:after="200" w:before="360"/>
      </w:pPr>
      <w:r>
        <w:rPr>
          <w:rFonts w:ascii="Roboto Flex" w:cs="Roboto Flex" w:eastAsia="Roboto Flex" w:hAnsi="Roboto Flex"/>
          <w:b/>
          <w:bCs/>
          <w:color w:val="262F27"/>
          <w:sz w:val="28"/>
          <w:szCs w:val="28"/>
        </w:rPr>
        <w:t xml:space="preserve">14. Out of Scope — V1 Deferral</w:t>
      </w:r>
    </w:p>
    <w:p>
      <w:pPr>
        <w:spacing w:after="120" w:before="120"/>
      </w:pPr>
      <w:r>
        <w:rPr>
          <w:rFonts w:ascii="Manrope" w:cs="Manrope" w:eastAsia="Manrope" w:hAnsi="Manrope"/>
          <w:sz w:val="20"/>
          <w:szCs w:val="20"/>
        </w:rPr>
        <w:t xml:space="preserve">The following items were identified during specification but are deferred to V2 or later, pending validation data from testers: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Item</w:t>
            </w:r>
          </w:p>
        </w:tc>
        <w:tc>
          <w:tcPr>
            <w:tcW w:type="dxa" w:w="14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Deferred To</w:t>
            </w:r>
          </w:p>
        </w:tc>
        <w:tc>
          <w:tcPr>
            <w:tcW w:type="dxa" w:w="52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Custom / User-Defined Fields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Premature abstraction before knowing which fields agencies actually need. Escape hatch: tags + notes fields cover 80% of edge cases.</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Commission Split (multi-agent)</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V1 Extended</w:t>
            </w:r>
          </w:p>
        </w:tc>
        <w:tc>
          <w:tcPr>
            <w:tcW w:type="dxa" w:w="5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Basic commissionRate is V1. Multi-agent split calculations depend on agency structure — gather data from testers first.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Portal Publication Sub-Entity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V1 Extended</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Basic portalPublications JSON on Property is V1. Promote to a PortalPublication table if portal sync becomes complex.</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Cadastre API Integration</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Blocked</w:t>
            </w:r>
          </w:p>
        </w:tc>
        <w:tc>
          <w:tcPr>
            <w:tcW w:type="dxa" w:w="5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Ελληνικό Κτηματολόγιο API is restricted to public sector entities. No private API access available. Manual KAEK field is the solution.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Digital Property File Integration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Blocked</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No API exposed to private companies. Implement as a document checklist tracker only.</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AI Matchmaking (Polis vector search)</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V2</w:t>
            </w:r>
          </w:p>
        </w:tc>
        <w:tc>
          <w:tcPr>
            <w:tcW w:type="dxa" w:w="5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V1 uses rule-based matching. Vector search (Qdrant/Weaviate) requires validated demand-side data first.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Mobile App (Capacitor)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Post-launch</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Deferred until mobile demand is validated by tester feedback. Web-first approach for V1.</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Organization / Agency Profile entity</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V1 Network Module</w:t>
            </w:r>
          </w:p>
        </w:tc>
        <w:tc>
          <w:tcPr>
            <w:tcW w:type="dxa" w:w="5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core org record already exists. An extended Agency Profile is in scope for the Network Module workstream.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Antecedent Matching Score History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Showing interestLevel signal for improving match rankings. Field is in place V1; algorithm is V2.</w:t>
            </w:r>
          </w:p>
        </w:tc>
      </w:tr>
      <w:tr>
        <w:tc>
          <w:tcPr>
            <w:tcW w:type="dxa" w:w="2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Calendar Event Recurrence</w:t>
            </w:r>
          </w:p>
        </w:tc>
        <w:tc>
          <w:tcPr>
            <w:tcW w:type="dxa" w:w="14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V2</w:t>
            </w:r>
          </w:p>
        </w:tc>
        <w:tc>
          <w:tcPr>
            <w:tcW w:type="dxa" w:w="52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Weekly team meetings, monthly reviews. Google Calendar two-way sync inherits recurrence from Google for read-only external events. Oikion-created recurring events need an rrule field (RFC 5545) when implemented.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DocumentTemplateVersion History Table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V1 Extended</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The version integer on Document Template is V1. A full DocumentTemplateVersion table storing previous body content is V1 Extended — the developer should assess whether append-only templates or explicit version storage fits the existing audit patterns.</w:t>
            </w:r>
          </w:p>
        </w:tc>
      </w:tr>
    </w:tbl>
    <w:p>
      <w:pPr>
        <w:pStyle w:val="Heading1"/>
        <w:spacing w:after="200" w:before="360"/>
      </w:pPr>
      <w:r>
        <w:rPr>
          <w:rFonts w:ascii="Roboto Flex" w:cs="Roboto Flex" w:eastAsia="Roboto Flex" w:hAnsi="Roboto Flex"/>
          <w:b/>
          <w:bCs/>
          <w:color w:val="262F27"/>
          <w:sz w:val="28"/>
          <w:szCs w:val="28"/>
        </w:rPr>
        <w:t xml:space="preserve">15. 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5026"/>
      </w:tblGrid>
      <w:tr>
        <w:trPr>
          <w:tblHeader/>
        </w:trPr>
        <w:tc>
          <w:tcPr>
            <w:tcW w:type="dxa" w:w="10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Version</w:t>
            </w:r>
          </w:p>
        </w:tc>
        <w:tc>
          <w:tcPr>
            <w:tcW w:type="dxa" w:w="12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Date</w:t>
            </w:r>
          </w:p>
        </w:tc>
        <w:tc>
          <w:tcPr>
            <w:tcW w:type="dxa" w:w="1800"/>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Author</w:t>
            </w:r>
          </w:p>
        </w:tc>
        <w:tc>
          <w:tcPr>
            <w:tcW w:type="dxa" w:w="5026"/>
            <w:tcBorders>
              <w:top w:val="single" w:color="A0A0A0" w:sz="1"/>
              <w:left w:val="single" w:color="A0A0A0" w:sz="1"/>
              <w:bottom w:val="single" w:color="A0A0A0" w:sz="1"/>
              <w:right w:val="single" w:color="A0A0A0" w:sz="1"/>
            </w:tcBorders>
            <w:shd w:fill="262F27" w:val="clear"/>
            <w:tcMar>
              <w:top w:type="dxa" w:w="60"/>
              <w:left w:type="dxa" w:w="100"/>
              <w:bottom w:type="dxa" w:w="60"/>
              <w:right w:type="dxa" w:w="100"/>
            </w:tcMar>
            <w:vAlign w:val="center"/>
          </w:tcPr>
          <w:p>
            <w:pPr>
              <w:spacing w:after="0" w:before="0"/>
            </w:pPr>
            <w:r>
              <w:rPr>
                <w:rFonts w:ascii="Manrope" w:cs="Manrope" w:eastAsia="Manrope" w:hAnsi="Manrope"/>
                <w:b/>
                <w:bCs/>
                <w:color w:val="FFFFFF"/>
                <w:sz w:val="18"/>
                <w:szCs w:val="18"/>
              </w:rPr>
              <w:t xml:space="preserve">Changes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April 2026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Oikion Product Lead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Initial release</w:t>
            </w:r>
          </w:p>
        </w:tc>
      </w:tr>
      <w:tr>
        <w:tc>
          <w:tcPr>
            <w:tcW w:type="dxa" w:w="10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2.0</w:t>
            </w:r>
          </w:p>
        </w:tc>
        <w:tc>
          <w:tcPr>
            <w:tcW w:type="dxa" w:w="12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April 2026</w:t>
            </w:r>
          </w:p>
        </w:tc>
        <w:tc>
          <w:tcPr>
            <w:tcW w:type="dxa" w:w="1800"/>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Oikion Product Lead</w:t>
            </w:r>
          </w:p>
        </w:tc>
        <w:tc>
          <w:tcPr>
            <w:tcW w:type="dxa" w:w="5026"/>
            <w:tcBorders>
              <w:top w:val="single" w:color="CCCCCC" w:sz="1"/>
              <w:left w:val="single" w:color="CCCCCC" w:sz="1"/>
              <w:bottom w:val="single" w:color="CCCCCC" w:sz="1"/>
              <w:right w:val="single" w:color="CCCCCC" w:sz="1"/>
            </w:tcBorders>
            <w:shd w:fill="F2EFE9" w:val="clear"/>
            <w:tcMar>
              <w:top w:type="dxa" w:w="60"/>
              <w:left w:type="dxa" w:w="100"/>
              <w:bottom w:type="dxa" w:w="60"/>
              <w:right w:type="dxa" w:w="100"/>
            </w:tcMar>
            <w:vAlign w:val="top"/>
          </w:tcPr>
          <w:p>
            <w:pPr>
              <w:spacing w:after="0" w:before="0"/>
            </w:pPr>
            <w:r>
              <w:rPr>
                <w:rFonts w:ascii="Manrope" w:cs="Manrope" w:eastAsia="Manrope" w:hAnsi="Manrope"/>
                <w:sz w:val="18"/>
                <w:szCs w:val="18"/>
              </w:rPr>
              <w:t xml:space="preserve">Revised architecture: 24 patches incorporating join tables (9 tables), dual pricing, rental deal fields, spatial location model alignment with Maps spec, soft-delete protection rules, version tracking on templates, cross-entity Activity references, and terminology alignment (Mandate → Request for demand-side entity).</w:t>
            </w:r>
          </w:p>
        </w:tc>
      </w:tr>
    </w:tbl>
    <w:p>
      <w:pPr>
        <w:spacing w:after="120" w:before="120"/>
      </w:pPr>
    </w:p>
    <w:p>
      <w:pPr>
        <w:spacing w:after="120" w:before="120"/>
        <w:jc w:val="center"/>
      </w:pPr>
      <w:r>
        <w:rPr>
          <w:rFonts w:ascii="Manrope" w:cs="Manrope" w:eastAsia="Manrope" w:hAnsi="Manrope"/>
          <w:i/>
          <w:iCs/>
          <w:color w:val="7B8C7C"/>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nrope" w:cs="Manrope" w:eastAsia="Manrope" w:hAnsi="Manrope"/>
        <w:color w:val="7B8C7C"/>
        <w:sz w:val="16"/>
        <w:szCs w:val="16"/>
      </w:rPr>
      <w:t xml:space="preserve">Confidential — Page </w:t>
    </w:r>
    <w:r>
      <w:rPr>
        <w:rFonts w:ascii="Manrope" w:cs="Manrope" w:eastAsia="Manrope" w:hAnsi="Manrope"/>
        <w:color w:val="7B8C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9" w:sz="4" w:space="4"/>
      </w:pBdr>
      <w:tabs>
        <w:tab w:val="right" w:pos="9026"/>
      </w:tabs>
    </w:pPr>
    <w:r>
      <w:rPr>
        <w:rFonts w:ascii="Roboto Flex" w:cs="Roboto Flex" w:eastAsia="Roboto Flex" w:hAnsi="Roboto Flex"/>
        <w:b/>
        <w:bCs/>
        <w:color w:val="7B8C7C"/>
        <w:sz w:val="16"/>
        <w:szCs w:val="16"/>
      </w:rPr>
      <w:t xml:space="preserve">OIKION</w:t>
    </w:r>
    <w:r>
      <w:rPr>
        <w:rFonts w:ascii="Manrope" w:cs="Manrope" w:eastAsia="Manrope" w:hAnsi="Manrope"/>
        <w:color w:val="7B8C7C"/>
        <w:sz w:val="16"/>
        <w:szCs w:val="16"/>
      </w:rPr>
      <w:t xml:space="preserve">	Entity Architecture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Roboto Flex" w:cs="Roboto Flex" w:eastAsia="Roboto Flex" w:hAnsi="Roboto Flex"/>
      <w:b/>
      <w:bCs/>
      <w:color w:val="262F27"/>
      <w:sz w:val="28"/>
      <w:szCs w:val="28"/>
    </w:rPr>
  </w:style>
  <w:style w:type="paragraph" w:styleId="Heading2">
    <w:name w:val="Heading 2"/>
    <w:basedOn w:val="Normal"/>
    <w:next w:val="Normal"/>
    <w:qFormat/>
    <w:pPr>
      <w:spacing w:after="160" w:before="280"/>
      <w:outlineLvl w:val="1"/>
    </w:pPr>
    <w:rPr>
      <w:rFonts w:ascii="Roboto Flex" w:cs="Roboto Flex" w:eastAsia="Roboto Flex" w:hAnsi="Roboto Flex"/>
      <w:b/>
      <w:bCs/>
      <w:color w:val="262F27"/>
      <w:sz w:val="24"/>
      <w:szCs w:val="24"/>
    </w:rPr>
  </w:style>
  <w:style w:type="paragraph" w:styleId="Heading3">
    <w:name w:val="Heading 3"/>
    <w:basedOn w:val="Normal"/>
    <w:next w:val="Normal"/>
    <w:qFormat/>
    <w:pPr>
      <w:spacing w:after="120" w:before="200"/>
      <w:outlineLvl w:val="2"/>
    </w:pPr>
    <w:rPr>
      <w:rFonts w:ascii="Roboto Flex" w:cs="Roboto Flex" w:eastAsia="Roboto Flex" w:hAnsi="Roboto Flex"/>
      <w:b/>
      <w:bCs/>
      <w:color w:val="7B8C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2026-04-04T14:54:40.774Z</dcterms:created>
  <dcterms:modified xsi:type="dcterms:W3CDTF">2026-04-04T14:54:40.828Z</dcterms:modified>
</cp:coreProperties>
</file>

<file path=docProps/custom.xml><?xml version="1.0" encoding="utf-8"?>
<Properties xmlns="http://schemas.openxmlformats.org/officeDocument/2006/custom-properties" xmlns:vt="http://schemas.openxmlformats.org/officeDocument/2006/docPropsVTypes"/>
</file>