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374151"/>
          <w:sz w:val="34"/>
          <w:szCs w:val="34"/>
        </w:rPr>
      </w:pPr>
      <w:r w:rsidDel="00000000" w:rsidR="00000000" w:rsidRPr="00000000">
        <w:rPr>
          <w:b w:val="1"/>
          <w:color w:val="374151"/>
          <w:sz w:val="34"/>
          <w:szCs w:val="34"/>
          <w:rtl w:val="0"/>
        </w:rPr>
        <w:t xml:space="preserve">Model View Controller(MVC) Architecture Pattern 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37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CricWare follows the widely known MVC (Model-View-Controller) architectural pattern as the system architecture. Below is the general diagram for the MVC architectural pattern. 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</w:rPr>
        <w:drawing>
          <wp:inline distB="114300" distT="114300" distL="114300" distR="114300">
            <wp:extent cx="5731200" cy="574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1. Model: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 The Model in CricWare would include classes or structures defining entities like User, Task, Payment, and functions/methods to interact with these entities, perform validations, and manage the data flow.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2. View: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 User interface components such as web pages, forms, and elements displaying task details, profile information, application forms, and messaging systems would be part of the View in CricWare. 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3. Controller: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 In CricWare, controllers would include backend logic or server-side scripts that handle HTTP requests, validate input, trigger operations on the Model (e.g., posting a task, processing a job application), and render the appropriate View responses.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