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Default for the Dashboard</w:t>
      </w:r>
    </w:p>
    <w:p>
      <w:r>
        <w:rPr>
          <w:i/>
          <w:iCs/>
          <w:sz w:val="19"/>
          <w:szCs w:val="19"/>
        </w:rPr>
        <w:t xml:space="preserve">Source: full SME interview transcript, Ben Lane, 13.07.2026. Direct quotes only — no paraphrasing of usage/role claims.</w:t>
      </w:r>
    </w:p>
    <w:p>
      <w:pPr>
        <w:spacing w:after="150"/>
      </w:pPr>
    </w:p>
    <w:p>
      <w:pPr>
        <w:pStyle w:val="Heading1"/>
      </w:pPr>
      <w:r>
        <w:t xml:space="preserve">1. Widget Usage — Most to Least Used</w:t>
      </w:r>
    </w:p>
    <w:p>
      <w:r>
        <w:rPr>
          <w:i/>
          <w:iCs/>
          <w:sz w:val="19"/>
          <w:szCs w:val="19"/>
        </w:rPr>
        <w:t xml:space="preserve">Widgets never mentioned in the transcript are marked Unknown and placed at the bottom.</w:t>
      </w:r>
    </w:p>
    <w:p>
      <w:pPr>
        <w:spacing w:after="100"/>
      </w:pPr>
    </w:p>
    <w:tbl>
      <w:tblPr>
        <w:tblW w:type="dxa" w:w="10520"/>
        <w:tblBorders>
          <w:top w:val="single" w:color="auto" w:sz="4"/>
          <w:left w:val="single" w:color="auto" w:sz="4"/>
          <w:bottom w:val="single" w:color="auto" w:sz="4"/>
          <w:right w:val="single" w:color="auto" w:sz="4"/>
          <w:insideH w:val="single" w:color="auto" w:sz="4"/>
          <w:insideV w:val="single" w:color="auto" w:sz="4"/>
        </w:tblBorders>
      </w:tblPr>
      <w:tblGrid>
        <w:gridCol w:w="520"/>
        <w:gridCol w:w="2600"/>
        <w:gridCol w:w="1500"/>
        <w:gridCol w:w="5900"/>
      </w:tblGrid>
      <w:tr>
        <w:trPr>
          <w:tblHeader/>
        </w:trPr>
        <w:tc>
          <w:tcPr>
            <w:tcW w:type="dxa" w:w="520"/>
            <w:shd w:fill="1F3864" w:val="clear"/>
          </w:tcPr>
          <w:p>
            <w:r>
              <w:rPr>
                <w:b/>
                <w:bCs/>
                <w:color w:val="FFFFFF"/>
                <w:sz w:val="19"/>
                <w:szCs w:val="19"/>
              </w:rPr>
              <w:t xml:space="preserve">Rank</w:t>
            </w:r>
          </w:p>
        </w:tc>
        <w:tc>
          <w:tcPr>
            <w:tcW w:type="dxa" w:w="2600"/>
            <w:shd w:fill="1F3864" w:val="clear"/>
          </w:tcPr>
          <w:p>
            <w:r>
              <w:rPr>
                <w:b/>
                <w:bCs/>
                <w:color w:val="FFFFFF"/>
                <w:sz w:val="19"/>
                <w:szCs w:val="19"/>
              </w:rPr>
              <w:t xml:space="preserve">Widget</w:t>
            </w:r>
          </w:p>
        </w:tc>
        <w:tc>
          <w:tcPr>
            <w:tcW w:type="dxa" w:w="1500"/>
            <w:shd w:fill="1F3864" w:val="clear"/>
          </w:tcPr>
          <w:p>
            <w:r>
              <w:rPr>
                <w:b/>
                <w:bCs/>
                <w:color w:val="FFFFFF"/>
                <w:sz w:val="19"/>
                <w:szCs w:val="19"/>
              </w:rPr>
              <w:t xml:space="preserve">Status</w:t>
            </w:r>
          </w:p>
        </w:tc>
        <w:tc>
          <w:tcPr>
            <w:tcW w:type="dxa" w:w="5900"/>
            <w:shd w:fill="1F3864" w:val="clear"/>
          </w:tcPr>
          <w:p>
            <w:r>
              <w:rPr>
                <w:b/>
                <w:bCs/>
                <w:color w:val="FFFFFF"/>
                <w:sz w:val="19"/>
                <w:szCs w:val="19"/>
              </w:rPr>
              <w:t xml:space="preserve">Quote</w:t>
            </w:r>
          </w:p>
        </w:tc>
      </w:tr>
      <w:tr>
        <w:tc>
          <w:tcPr>
            <w:tcW w:type="dxa" w:w="520"/>
          </w:tcPr>
          <w:p>
            <w:r>
              <w:rPr>
                <w:b w:val="false"/>
                <w:bCs w:val="false"/>
                <w:i w:val="false"/>
                <w:iCs w:val="false"/>
                <w:sz w:val="19"/>
                <w:szCs w:val="19"/>
              </w:rPr>
              <w:t xml:space="preserve">1</w:t>
            </w:r>
          </w:p>
        </w:tc>
        <w:tc>
          <w:tcPr>
            <w:tcW w:type="dxa" w:w="2600"/>
          </w:tcPr>
          <w:p>
            <w:r>
              <w:rPr>
                <w:b w:val="false"/>
                <w:bCs w:val="false"/>
                <w:i w:val="false"/>
                <w:iCs w:val="false"/>
                <w:sz w:val="19"/>
                <w:szCs w:val="19"/>
              </w:rPr>
              <w:t xml:space="preserve">Bank Balances (Bank Account Management)</w:t>
            </w:r>
          </w:p>
        </w:tc>
        <w:tc>
          <w:tcPr>
            <w:tcW w:type="dxa" w:w="1500"/>
          </w:tcPr>
          <w:p>
            <w:r>
              <w:rPr>
                <w:b w:val="false"/>
                <w:bCs w:val="false"/>
                <w:i w:val="false"/>
                <w:iCs w:val="false"/>
                <w:sz w:val="19"/>
                <w:szCs w:val="19"/>
              </w:rPr>
              <w:t xml:space="preserve">Confirmed — highest</w:t>
            </w:r>
          </w:p>
        </w:tc>
        <w:tc>
          <w:tcPr>
            <w:tcW w:type="dxa" w:w="5900"/>
          </w:tcPr>
          <w:p>
            <w:r>
              <w:rPr>
                <w:b w:val="false"/>
                <w:bCs w:val="false"/>
                <w:i w:val="false"/>
                <w:iCs w:val="false"/>
                <w:sz w:val="19"/>
                <w:szCs w:val="19"/>
              </w:rPr>
              <w:t xml:space="preserve">“That’s a very common one because it does show them their bank balances—live bank balances.” / “...Bank Account Management—which is the base package.”</w:t>
            </w:r>
          </w:p>
        </w:tc>
      </w:tr>
      <w:tr>
        <w:tc>
          <w:tcPr>
            <w:tcW w:type="dxa" w:w="520"/>
          </w:tcPr>
          <w:p>
            <w:r>
              <w:rPr>
                <w:b w:val="false"/>
                <w:bCs w:val="false"/>
                <w:i w:val="false"/>
                <w:iCs w:val="false"/>
                <w:sz w:val="19"/>
                <w:szCs w:val="19"/>
              </w:rPr>
              <w:t xml:space="preserve">2</w:t>
            </w:r>
          </w:p>
        </w:tc>
        <w:tc>
          <w:tcPr>
            <w:tcW w:type="dxa" w:w="2600"/>
          </w:tcPr>
          <w:p>
            <w:r>
              <w:rPr>
                <w:b w:val="false"/>
                <w:bCs w:val="false"/>
                <w:i w:val="false"/>
                <w:iCs w:val="false"/>
                <w:sz w:val="19"/>
                <w:szCs w:val="19"/>
              </w:rPr>
              <w:t xml:space="preserve">Payroll Distributions</w:t>
            </w:r>
          </w:p>
        </w:tc>
        <w:tc>
          <w:tcPr>
            <w:tcW w:type="dxa" w:w="1500"/>
          </w:tcPr>
          <w:p>
            <w:r>
              <w:rPr>
                <w:b w:val="false"/>
                <w:bCs w:val="false"/>
                <w:i w:val="false"/>
                <w:iCs w:val="false"/>
                <w:sz w:val="19"/>
                <w:szCs w:val="19"/>
              </w:rPr>
              <w:t xml:space="preserve">Confirmed — high</w:t>
            </w:r>
          </w:p>
        </w:tc>
        <w:tc>
          <w:tcPr>
            <w:tcW w:type="dxa" w:w="5900"/>
          </w:tcPr>
          <w:p>
            <w:r>
              <w:rPr>
                <w:b w:val="false"/>
                <w:bCs w:val="false"/>
                <w:i w:val="false"/>
                <w:iCs w:val="false"/>
                <w:sz w:val="19"/>
                <w:szCs w:val="19"/>
              </w:rPr>
              <w:t xml:space="preserve">“They like the payroll distributions really well.”</w:t>
            </w:r>
          </w:p>
        </w:tc>
      </w:tr>
      <w:tr>
        <w:tc>
          <w:tcPr>
            <w:tcW w:type="dxa" w:w="520"/>
          </w:tcPr>
          <w:p>
            <w:r>
              <w:rPr>
                <w:b w:val="false"/>
                <w:bCs w:val="false"/>
                <w:i w:val="false"/>
                <w:iCs w:val="false"/>
                <w:sz w:val="19"/>
                <w:szCs w:val="19"/>
              </w:rPr>
              <w:t xml:space="preserve">3</w:t>
            </w:r>
          </w:p>
        </w:tc>
        <w:tc>
          <w:tcPr>
            <w:tcW w:type="dxa" w:w="2600"/>
          </w:tcPr>
          <w:p>
            <w:r>
              <w:rPr>
                <w:b w:val="false"/>
                <w:bCs w:val="false"/>
                <w:i w:val="false"/>
                <w:iCs w:val="false"/>
                <w:sz w:val="19"/>
                <w:szCs w:val="19"/>
              </w:rPr>
              <w:t xml:space="preserve">Main Content Tasks (Quick Actions)</w:t>
            </w:r>
          </w:p>
        </w:tc>
        <w:tc>
          <w:tcPr>
            <w:tcW w:type="dxa" w:w="1500"/>
          </w:tcPr>
          <w:p>
            <w:r>
              <w:rPr>
                <w:b w:val="false"/>
                <w:bCs w:val="false"/>
                <w:i w:val="false"/>
                <w:iCs w:val="false"/>
                <w:sz w:val="19"/>
                <w:szCs w:val="19"/>
              </w:rPr>
              <w:t xml:space="preserve">Confirmed — high</w:t>
            </w:r>
          </w:p>
        </w:tc>
        <w:tc>
          <w:tcPr>
            <w:tcW w:type="dxa" w:w="5900"/>
          </w:tcPr>
          <w:p>
            <w:r>
              <w:rPr>
                <w:b w:val="false"/>
                <w:bCs w:val="false"/>
                <w:i w:val="false"/>
                <w:iCs w:val="false"/>
                <w:sz w:val="19"/>
                <w:szCs w:val="19"/>
              </w:rPr>
              <w:t xml:space="preserve">“I do see main content used a lot. So, there are some people actually moving that up higher than the graphs.”</w:t>
            </w:r>
          </w:p>
        </w:tc>
      </w:tr>
      <w:tr>
        <w:tc>
          <w:tcPr>
            <w:tcW w:type="dxa" w:w="520"/>
          </w:tcPr>
          <w:p>
            <w:r>
              <w:rPr>
                <w:b w:val="false"/>
                <w:bCs w:val="false"/>
                <w:i w:val="false"/>
                <w:iCs w:val="false"/>
                <w:sz w:val="19"/>
                <w:szCs w:val="19"/>
              </w:rPr>
              <w:t xml:space="preserve">4</w:t>
            </w:r>
          </w:p>
        </w:tc>
        <w:tc>
          <w:tcPr>
            <w:tcW w:type="dxa" w:w="2600"/>
          </w:tcPr>
          <w:p>
            <w:r>
              <w:rPr>
                <w:b w:val="false"/>
                <w:bCs w:val="false"/>
                <w:i w:val="false"/>
                <w:iCs w:val="false"/>
                <w:sz w:val="19"/>
                <w:szCs w:val="19"/>
              </w:rPr>
              <w:t xml:space="preserve">Purchasing Management</w:t>
            </w:r>
          </w:p>
        </w:tc>
        <w:tc>
          <w:tcPr>
            <w:tcW w:type="dxa" w:w="1500"/>
          </w:tcPr>
          <w:p>
            <w:r>
              <w:rPr>
                <w:b w:val="false"/>
                <w:bCs w:val="false"/>
                <w:i w:val="false"/>
                <w:iCs w:val="false"/>
                <w:sz w:val="19"/>
                <w:szCs w:val="19"/>
              </w:rPr>
              <w:t xml:space="preserve">Confirmed — high (adoption-dependent)</w:t>
            </w:r>
          </w:p>
        </w:tc>
        <w:tc>
          <w:tcPr>
            <w:tcW w:type="dxa" w:w="5900"/>
          </w:tcPr>
          <w:p>
            <w:r>
              <w:rPr>
                <w:b w:val="false"/>
                <w:bCs w:val="false"/>
                <w:i w:val="false"/>
                <w:iCs w:val="false"/>
                <w:sz w:val="19"/>
                <w:szCs w:val="19"/>
              </w:rPr>
              <w:t xml:space="preserve">“...purchasing management is used a lot for those ones that are using purchasing management. I think that is a really good one.”</w:t>
            </w:r>
          </w:p>
        </w:tc>
      </w:tr>
      <w:tr>
        <w:tc>
          <w:tcPr>
            <w:tcW w:type="dxa" w:w="520"/>
          </w:tcPr>
          <w:p>
            <w:r>
              <w:rPr>
                <w:b w:val="false"/>
                <w:bCs w:val="false"/>
                <w:i w:val="false"/>
                <w:iCs w:val="false"/>
                <w:sz w:val="19"/>
                <w:szCs w:val="19"/>
              </w:rPr>
              <w:t xml:space="preserve">5</w:t>
            </w:r>
          </w:p>
        </w:tc>
        <w:tc>
          <w:tcPr>
            <w:tcW w:type="dxa" w:w="2600"/>
          </w:tcPr>
          <w:p>
            <w:r>
              <w:rPr>
                <w:b w:val="false"/>
                <w:bCs w:val="false"/>
                <w:i w:val="false"/>
                <w:iCs w:val="false"/>
                <w:sz w:val="19"/>
                <w:szCs w:val="19"/>
              </w:rPr>
              <w:t xml:space="preserve">Receivable Invoices Outstanding (AR)</w:t>
            </w:r>
          </w:p>
        </w:tc>
        <w:tc>
          <w:tcPr>
            <w:tcW w:type="dxa" w:w="1500"/>
          </w:tcPr>
          <w:p>
            <w:r>
              <w:rPr>
                <w:b w:val="false"/>
                <w:bCs w:val="false"/>
                <w:i w:val="false"/>
                <w:iCs w:val="false"/>
                <w:sz w:val="19"/>
                <w:szCs w:val="19"/>
              </w:rPr>
              <w:t xml:space="preserve">Confirmed — moderate (adoption-dependent)</w:t>
            </w:r>
          </w:p>
        </w:tc>
        <w:tc>
          <w:tcPr>
            <w:tcW w:type="dxa" w:w="5900"/>
          </w:tcPr>
          <w:p>
            <w:r>
              <w:rPr>
                <w:b w:val="false"/>
                <w:bCs w:val="false"/>
                <w:i w:val="false"/>
                <w:iCs w:val="false"/>
                <w:sz w:val="19"/>
                <w:szCs w:val="19"/>
              </w:rPr>
              <w:t xml:space="preserve">“Receivable invoices, that’s used a lot for the people that are... for those that are using accounts receivable.”</w:t>
            </w:r>
          </w:p>
        </w:tc>
      </w:tr>
      <w:tr>
        <w:tc>
          <w:tcPr>
            <w:tcW w:type="dxa" w:w="520"/>
          </w:tcPr>
          <w:p>
            <w:r>
              <w:rPr>
                <w:b w:val="false"/>
                <w:bCs w:val="false"/>
                <w:i w:val="false"/>
                <w:iCs w:val="false"/>
                <w:sz w:val="19"/>
                <w:szCs w:val="19"/>
              </w:rPr>
              <w:t xml:space="preserve">6</w:t>
            </w:r>
          </w:p>
        </w:tc>
        <w:tc>
          <w:tcPr>
            <w:tcW w:type="dxa" w:w="2600"/>
          </w:tcPr>
          <w:p>
            <w:r>
              <w:rPr>
                <w:b w:val="false"/>
                <w:bCs w:val="false"/>
                <w:i w:val="false"/>
                <w:iCs w:val="false"/>
                <w:sz w:val="19"/>
                <w:szCs w:val="19"/>
              </w:rPr>
              <w:t xml:space="preserve">Accounts Payable By Due Date</w:t>
            </w:r>
          </w:p>
        </w:tc>
        <w:tc>
          <w:tcPr>
            <w:tcW w:type="dxa" w:w="1500"/>
          </w:tcPr>
          <w:p>
            <w:r>
              <w:rPr>
                <w:b w:val="false"/>
                <w:bCs w:val="false"/>
                <w:i w:val="false"/>
                <w:iCs w:val="false"/>
                <w:sz w:val="19"/>
                <w:szCs w:val="19"/>
              </w:rPr>
              <w:t xml:space="preserve">Confirmed — mixed</w:t>
            </w:r>
          </w:p>
        </w:tc>
        <w:tc>
          <w:tcPr>
            <w:tcW w:type="dxa" w:w="5900"/>
          </w:tcPr>
          <w:p>
            <w:r>
              <w:rPr>
                <w:b w:val="false"/>
                <w:bCs w:val="false"/>
                <w:i w:val="false"/>
                <w:iCs w:val="false"/>
                <w:sz w:val="19"/>
                <w:szCs w:val="19"/>
              </w:rPr>
              <w:t xml:space="preserve">Core module: “...General Ledger, Accounts Payable, Bank Account Management—which is the base package.” But: “Most of our clients do not use AP the way that it’s really designed... that one’s not used as much.”</w:t>
            </w:r>
          </w:p>
        </w:tc>
      </w:tr>
      <w:tr>
        <w:tc>
          <w:tcPr>
            <w:tcW w:type="dxa" w:w="520"/>
          </w:tcPr>
          <w:p>
            <w:r>
              <w:rPr>
                <w:b w:val="false"/>
                <w:bCs w:val="false"/>
                <w:i w:val="false"/>
                <w:iCs w:val="false"/>
                <w:sz w:val="19"/>
                <w:szCs w:val="19"/>
              </w:rPr>
              <w:t xml:space="preserve">7</w:t>
            </w:r>
          </w:p>
        </w:tc>
        <w:tc>
          <w:tcPr>
            <w:tcW w:type="dxa" w:w="2600"/>
          </w:tcPr>
          <w:p>
            <w:r>
              <w:rPr>
                <w:b w:val="false"/>
                <w:bCs w:val="false"/>
                <w:i w:val="false"/>
                <w:iCs w:val="false"/>
                <w:sz w:val="19"/>
                <w:szCs w:val="19"/>
              </w:rPr>
              <w:t xml:space="preserve">Budget Compared to Actual</w:t>
            </w:r>
          </w:p>
        </w:tc>
        <w:tc>
          <w:tcPr>
            <w:tcW w:type="dxa" w:w="1500"/>
          </w:tcPr>
          <w:p>
            <w:r>
              <w:rPr>
                <w:b w:val="false"/>
                <w:bCs w:val="false"/>
                <w:i w:val="false"/>
                <w:iCs w:val="false"/>
                <w:sz w:val="19"/>
                <w:szCs w:val="19"/>
              </w:rPr>
              <w:t xml:space="preserve">Confirmed — low (today)</w:t>
            </w:r>
          </w:p>
        </w:tc>
        <w:tc>
          <w:tcPr>
            <w:tcW w:type="dxa" w:w="5900"/>
          </w:tcPr>
          <w:p>
            <w:r>
              <w:rPr>
                <w:b w:val="false"/>
                <w:bCs w:val="false"/>
                <w:i w:val="false"/>
                <w:iCs w:val="false"/>
                <w:sz w:val="19"/>
                <w:szCs w:val="19"/>
              </w:rPr>
              <w:t xml:space="preserve">“It’s not used a lot now.” (Ben expects this to rise with more flexibility.)</w:t>
            </w:r>
          </w:p>
        </w:tc>
      </w:tr>
      <w:tr>
        <w:tc>
          <w:tcPr>
            <w:tcW w:type="dxa" w:w="520"/>
          </w:tcPr>
          <w:p>
            <w:r>
              <w:rPr>
                <w:b w:val="false"/>
                <w:bCs w:val="false"/>
                <w:i w:val="false"/>
                <w:iCs w:val="false"/>
                <w:sz w:val="19"/>
                <w:szCs w:val="19"/>
              </w:rPr>
              <w:t xml:space="preserve">8</w:t>
            </w:r>
          </w:p>
        </w:tc>
        <w:tc>
          <w:tcPr>
            <w:tcW w:type="dxa" w:w="2600"/>
          </w:tcPr>
          <w:p>
            <w:r>
              <w:rPr>
                <w:b w:val="false"/>
                <w:bCs w:val="false"/>
                <w:i w:val="false"/>
                <w:iCs w:val="false"/>
                <w:sz w:val="19"/>
                <w:szCs w:val="19"/>
              </w:rPr>
              <w:t xml:space="preserve">Payroll Scheduled Time Off</w:t>
            </w:r>
          </w:p>
        </w:tc>
        <w:tc>
          <w:tcPr>
            <w:tcW w:type="dxa" w:w="1500"/>
          </w:tcPr>
          <w:p>
            <w:r>
              <w:rPr>
                <w:b w:val="false"/>
                <w:bCs w:val="false"/>
                <w:i w:val="false"/>
                <w:iCs w:val="false"/>
                <w:sz w:val="19"/>
                <w:szCs w:val="19"/>
              </w:rPr>
              <w:t xml:space="preserve">Confirmed — low</w:t>
            </w:r>
          </w:p>
        </w:tc>
        <w:tc>
          <w:tcPr>
            <w:tcW w:type="dxa" w:w="5900"/>
          </w:tcPr>
          <w:p>
            <w:r>
              <w:rPr>
                <w:b w:val="false"/>
                <w:bCs w:val="false"/>
                <w:i w:val="false"/>
                <w:iCs w:val="false"/>
                <w:sz w:val="19"/>
                <w:szCs w:val="19"/>
              </w:rPr>
              <w:t xml:space="preserve">“Not everybody uses payroll, uses the scheduled time off function of payroll, so it’s not as commonly used either.”</w:t>
            </w:r>
          </w:p>
        </w:tc>
      </w:tr>
      <w:tr>
        <w:tc>
          <w:tcPr>
            <w:tcW w:type="dxa" w:w="520"/>
          </w:tcPr>
          <w:p>
            <w:r>
              <w:rPr>
                <w:b w:val="false"/>
                <w:bCs w:val="false"/>
                <w:i w:val="false"/>
                <w:iCs w:val="false"/>
                <w:sz w:val="19"/>
                <w:szCs w:val="19"/>
              </w:rPr>
              <w:t xml:space="preserve">9</w:t>
            </w:r>
          </w:p>
        </w:tc>
        <w:tc>
          <w:tcPr>
            <w:tcW w:type="dxa" w:w="2600"/>
          </w:tcPr>
          <w:p>
            <w:r>
              <w:rPr>
                <w:b w:val="false"/>
                <w:bCs w:val="false"/>
                <w:i w:val="false"/>
                <w:iCs w:val="false"/>
                <w:sz w:val="19"/>
                <w:szCs w:val="19"/>
              </w:rPr>
              <w:t xml:space="preserve">Fixed Asset Values</w:t>
            </w:r>
          </w:p>
        </w:tc>
        <w:tc>
          <w:tcPr>
            <w:tcW w:type="dxa" w:w="1500"/>
          </w:tcPr>
          <w:p>
            <w:r>
              <w:rPr>
                <w:b w:val="false"/>
                <w:bCs w:val="false"/>
                <w:i w:val="false"/>
                <w:iCs w:val="false"/>
                <w:sz w:val="19"/>
                <w:szCs w:val="19"/>
              </w:rPr>
              <w:t xml:space="preserve">Confirmed — very low</w:t>
            </w:r>
          </w:p>
        </w:tc>
        <w:tc>
          <w:tcPr>
            <w:tcW w:type="dxa" w:w="5900"/>
          </w:tcPr>
          <w:p>
            <w:r>
              <w:rPr>
                <w:b w:val="false"/>
                <w:bCs w:val="false"/>
                <w:i w:val="false"/>
                <w:iCs w:val="false"/>
                <w:sz w:val="19"/>
                <w:szCs w:val="19"/>
              </w:rPr>
              <w:t xml:space="preserve">“Fixed Assets is used for a very, very small amount of our clients.”</w:t>
            </w:r>
          </w:p>
        </w:tc>
      </w:tr>
      <w:tr>
        <w:tc>
          <w:tcPr>
            <w:tcW w:type="dxa" w:w="520"/>
          </w:tcPr>
          <w:p>
            <w:r>
              <w:rPr>
                <w:b w:val="false"/>
                <w:bCs w:val="false"/>
                <w:i w:val="false"/>
                <w:iCs w:val="false"/>
                <w:sz w:val="19"/>
                <w:szCs w:val="19"/>
              </w:rPr>
              <w:t xml:space="preserve">10</w:t>
            </w:r>
          </w:p>
        </w:tc>
        <w:tc>
          <w:tcPr>
            <w:tcW w:type="dxa" w:w="2600"/>
          </w:tcPr>
          <w:p>
            <w:r>
              <w:rPr>
                <w:b w:val="false"/>
                <w:bCs w:val="false"/>
                <w:i w:val="false"/>
                <w:iCs w:val="false"/>
                <w:sz w:val="19"/>
                <w:szCs w:val="19"/>
              </w:rPr>
              <w:t xml:space="preserve">Loans With Balance Due</w:t>
            </w:r>
          </w:p>
        </w:tc>
        <w:tc>
          <w:tcPr>
            <w:tcW w:type="dxa" w:w="1500"/>
          </w:tcPr>
          <w:p>
            <w:r>
              <w:rPr>
                <w:b w:val="false"/>
                <w:bCs w:val="false"/>
                <w:i w:val="false"/>
                <w:iCs w:val="false"/>
                <w:sz w:val="19"/>
                <w:szCs w:val="19"/>
              </w:rPr>
              <w:t xml:space="preserve">Confirmed — very low</w:t>
            </w:r>
          </w:p>
        </w:tc>
        <w:tc>
          <w:tcPr>
            <w:tcW w:type="dxa" w:w="5900"/>
          </w:tcPr>
          <w:p>
            <w:r>
              <w:rPr>
                <w:b w:val="false"/>
                <w:bCs w:val="false"/>
                <w:i w:val="false"/>
                <w:iCs w:val="false"/>
                <w:sz w:val="19"/>
                <w:szCs w:val="19"/>
              </w:rPr>
              <w:t xml:space="preserve">“Loan processing, that’s another one that’s used on a very, very minimal level... used a little more than deposits, but not a lot.”</w:t>
            </w:r>
          </w:p>
        </w:tc>
      </w:tr>
      <w:tr>
        <w:tc>
          <w:tcPr>
            <w:tcW w:type="dxa" w:w="520"/>
          </w:tcPr>
          <w:p>
            <w:r>
              <w:rPr>
                <w:b w:val="false"/>
                <w:bCs w:val="false"/>
                <w:i w:val="false"/>
                <w:iCs w:val="false"/>
                <w:sz w:val="19"/>
                <w:szCs w:val="19"/>
              </w:rPr>
              <w:t xml:space="preserve">11</w:t>
            </w:r>
          </w:p>
        </w:tc>
        <w:tc>
          <w:tcPr>
            <w:tcW w:type="dxa" w:w="2600"/>
          </w:tcPr>
          <w:p>
            <w:r>
              <w:rPr>
                <w:b w:val="false"/>
                <w:bCs w:val="false"/>
                <w:i w:val="false"/>
                <w:iCs w:val="false"/>
                <w:sz w:val="19"/>
                <w:szCs w:val="19"/>
              </w:rPr>
              <w:t xml:space="preserve">Pension Plans</w:t>
            </w:r>
          </w:p>
        </w:tc>
        <w:tc>
          <w:tcPr>
            <w:tcW w:type="dxa" w:w="1500"/>
          </w:tcPr>
          <w:p>
            <w:r>
              <w:rPr>
                <w:b w:val="false"/>
                <w:bCs w:val="false"/>
                <w:i w:val="false"/>
                <w:iCs w:val="false"/>
                <w:sz w:val="19"/>
                <w:szCs w:val="19"/>
              </w:rPr>
              <w:t xml:space="preserve">Confirmed — very low (~5%)</w:t>
            </w:r>
          </w:p>
        </w:tc>
        <w:tc>
          <w:tcPr>
            <w:tcW w:type="dxa" w:w="5900"/>
          </w:tcPr>
          <w:p>
            <w:r>
              <w:rPr>
                <w:b w:val="false"/>
                <w:bCs w:val="false"/>
                <w:i w:val="false"/>
                <w:iCs w:val="false"/>
                <w:sz w:val="19"/>
                <w:szCs w:val="19"/>
              </w:rPr>
              <w:t xml:space="preserve">“...the pension billing, insurance billing, that’s used specifically for Methodist conferences. And so that is, you know, 5% maybe.”</w:t>
            </w:r>
          </w:p>
        </w:tc>
      </w:tr>
      <w:tr>
        <w:tc>
          <w:tcPr>
            <w:tcW w:type="dxa" w:w="520"/>
          </w:tcPr>
          <w:p>
            <w:r>
              <w:rPr>
                <w:b w:val="false"/>
                <w:bCs w:val="false"/>
                <w:i w:val="false"/>
                <w:iCs w:val="false"/>
                <w:sz w:val="19"/>
                <w:szCs w:val="19"/>
              </w:rPr>
              <w:t xml:space="preserve">12</w:t>
            </w:r>
          </w:p>
        </w:tc>
        <w:tc>
          <w:tcPr>
            <w:tcW w:type="dxa" w:w="2600"/>
          </w:tcPr>
          <w:p>
            <w:r>
              <w:rPr>
                <w:b w:val="false"/>
                <w:bCs w:val="false"/>
                <w:i w:val="false"/>
                <w:iCs w:val="false"/>
                <w:sz w:val="19"/>
                <w:szCs w:val="19"/>
              </w:rPr>
              <w:t xml:space="preserve">Insurance Billing Plans</w:t>
            </w:r>
          </w:p>
        </w:tc>
        <w:tc>
          <w:tcPr>
            <w:tcW w:type="dxa" w:w="1500"/>
          </w:tcPr>
          <w:p>
            <w:r>
              <w:rPr>
                <w:b w:val="false"/>
                <w:bCs w:val="false"/>
                <w:i w:val="false"/>
                <w:iCs w:val="false"/>
                <w:sz w:val="19"/>
                <w:szCs w:val="19"/>
              </w:rPr>
              <w:t xml:space="preserve">Confirmed — very low (~5%)</w:t>
            </w:r>
          </w:p>
        </w:tc>
        <w:tc>
          <w:tcPr>
            <w:tcW w:type="dxa" w:w="5900"/>
          </w:tcPr>
          <w:p>
            <w:r>
              <w:rPr>
                <w:b w:val="false"/>
                <w:bCs w:val="false"/>
                <w:i w:val="false"/>
                <w:iCs w:val="false"/>
                <w:sz w:val="19"/>
                <w:szCs w:val="19"/>
              </w:rPr>
              <w:t xml:space="preserve">Same quote as Pension Plans — Ben grouped the two together.</w:t>
            </w:r>
          </w:p>
        </w:tc>
      </w:tr>
      <w:tr>
        <w:tc>
          <w:tcPr>
            <w:tcW w:type="dxa" w:w="520"/>
          </w:tcPr>
          <w:p>
            <w:r>
              <w:rPr>
                <w:b w:val="false"/>
                <w:bCs w:val="false"/>
                <w:i w:val="false"/>
                <w:iCs w:val="false"/>
                <w:sz w:val="19"/>
                <w:szCs w:val="19"/>
              </w:rPr>
              <w:t xml:space="preserve">13</w:t>
            </w:r>
          </w:p>
        </w:tc>
        <w:tc>
          <w:tcPr>
            <w:tcW w:type="dxa" w:w="2600"/>
          </w:tcPr>
          <w:p>
            <w:r>
              <w:rPr>
                <w:b w:val="false"/>
                <w:bCs w:val="false"/>
                <w:i w:val="false"/>
                <w:iCs w:val="false"/>
                <w:sz w:val="19"/>
                <w:szCs w:val="19"/>
              </w:rPr>
              <w:t xml:space="preserve">Remittance Pledges</w:t>
            </w:r>
          </w:p>
        </w:tc>
        <w:tc>
          <w:tcPr>
            <w:tcW w:type="dxa" w:w="1500"/>
          </w:tcPr>
          <w:p>
            <w:r>
              <w:rPr>
                <w:b w:val="false"/>
                <w:bCs w:val="false"/>
                <w:i w:val="false"/>
                <w:iCs w:val="false"/>
                <w:sz w:val="19"/>
                <w:szCs w:val="19"/>
              </w:rPr>
              <w:t xml:space="preserve">Confirmed — very low (HQ-specific)</w:t>
            </w:r>
          </w:p>
        </w:tc>
        <w:tc>
          <w:tcPr>
            <w:tcW w:type="dxa" w:w="5900"/>
          </w:tcPr>
          <w:p>
            <w:r>
              <w:rPr>
                <w:b w:val="false"/>
                <w:bCs w:val="false"/>
                <w:i w:val="false"/>
                <w:iCs w:val="false"/>
                <w:sz w:val="19"/>
                <w:szCs w:val="19"/>
              </w:rPr>
              <w:t xml:space="preserve">“The remittance and insurance, that is also related specifically to headquarters.”</w:t>
            </w:r>
          </w:p>
        </w:tc>
      </w:tr>
      <w:tr>
        <w:tc>
          <w:tcPr>
            <w:tcW w:type="dxa" w:w="520"/>
          </w:tcPr>
          <w:p>
            <w:r>
              <w:rPr>
                <w:b w:val="false"/>
                <w:bCs w:val="false"/>
                <w:i w:val="false"/>
                <w:iCs w:val="false"/>
                <w:sz w:val="19"/>
                <w:szCs w:val="19"/>
              </w:rPr>
              <w:t xml:space="preserve">14</w:t>
            </w:r>
          </w:p>
        </w:tc>
        <w:tc>
          <w:tcPr>
            <w:tcW w:type="dxa" w:w="2600"/>
          </w:tcPr>
          <w:p>
            <w:r>
              <w:rPr>
                <w:b w:val="false"/>
                <w:bCs w:val="false"/>
                <w:i w:val="false"/>
                <w:iCs w:val="false"/>
                <w:sz w:val="19"/>
                <w:szCs w:val="19"/>
              </w:rPr>
              <w:t xml:space="preserve">Gifts Pledges</w:t>
            </w:r>
          </w:p>
        </w:tc>
        <w:tc>
          <w:tcPr>
            <w:tcW w:type="dxa" w:w="1500"/>
          </w:tcPr>
          <w:p>
            <w:r>
              <w:rPr>
                <w:b w:val="false"/>
                <w:bCs w:val="false"/>
                <w:i w:val="false"/>
                <w:iCs w:val="false"/>
                <w:sz w:val="19"/>
                <w:szCs w:val="19"/>
              </w:rPr>
              <w:t xml:space="preserve">Confirmed — very low (HQ/nonprofit)</w:t>
            </w:r>
          </w:p>
        </w:tc>
        <w:tc>
          <w:tcPr>
            <w:tcW w:type="dxa" w:w="5900"/>
          </w:tcPr>
          <w:p>
            <w:r>
              <w:rPr>
                <w:b w:val="false"/>
                <w:bCs w:val="false"/>
                <w:i w:val="false"/>
                <w:iCs w:val="false"/>
                <w:sz w:val="19"/>
                <w:szCs w:val="19"/>
              </w:rPr>
              <w:t xml:space="preserve">“Gifts, again, because donor and gift—that’s a headquarters project or a nonprofit organization. I think that would be used a lot more if... people were using that module more.”</w:t>
            </w:r>
          </w:p>
        </w:tc>
      </w:tr>
      <w:tr>
        <w:tc>
          <w:tcPr>
            <w:tcW w:type="dxa" w:w="520"/>
          </w:tcPr>
          <w:p>
            <w:r>
              <w:rPr>
                <w:b w:val="false"/>
                <w:bCs w:val="false"/>
                <w:i w:val="false"/>
                <w:iCs w:val="false"/>
                <w:sz w:val="19"/>
                <w:szCs w:val="19"/>
              </w:rPr>
              <w:t xml:space="preserve">15</w:t>
            </w:r>
          </w:p>
        </w:tc>
        <w:tc>
          <w:tcPr>
            <w:tcW w:type="dxa" w:w="2600"/>
          </w:tcPr>
          <w:p>
            <w:r>
              <w:rPr>
                <w:b w:val="false"/>
                <w:bCs w:val="false"/>
                <w:i w:val="false"/>
                <w:iCs w:val="false"/>
                <w:sz w:val="19"/>
                <w:szCs w:val="19"/>
              </w:rPr>
              <w:t xml:space="preserve">Deposit Accounts</w:t>
            </w:r>
          </w:p>
        </w:tc>
        <w:tc>
          <w:tcPr>
            <w:tcW w:type="dxa" w:w="1500"/>
          </w:tcPr>
          <w:p>
            <w:r>
              <w:rPr>
                <w:b w:val="false"/>
                <w:bCs w:val="false"/>
                <w:i w:val="false"/>
                <w:iCs w:val="false"/>
                <w:sz w:val="19"/>
                <w:szCs w:val="19"/>
              </w:rPr>
              <w:t xml:space="preserve">Confirmed — lowest (&lt;1–2%)</w:t>
            </w:r>
          </w:p>
        </w:tc>
        <w:tc>
          <w:tcPr>
            <w:tcW w:type="dxa" w:w="5900"/>
          </w:tcPr>
          <w:p>
            <w:r>
              <w:rPr>
                <w:b w:val="false"/>
                <w:bCs w:val="false"/>
                <w:i w:val="false"/>
                <w:iCs w:val="false"/>
                <w:sz w:val="19"/>
                <w:szCs w:val="19"/>
              </w:rPr>
              <w:t xml:space="preserve">“Used very, very, very rarely, and only used for HQs that are managing their own investments. So, I would say we’re looking at less than 1%... maybe 2% of our clients use that.”</w:t>
            </w:r>
          </w:p>
        </w:tc>
      </w:tr>
      <w:tr>
        <w:tc>
          <w:tcPr>
            <w:tcW w:type="dxa" w:w="520"/>
          </w:tcPr>
          <w:p>
            <w:r>
              <w:rPr>
                <w:b w:val="false"/>
                <w:bCs w:val="false"/>
                <w:i w:val="false"/>
                <w:iCs w:val="false"/>
                <w:sz w:val="19"/>
                <w:szCs w:val="19"/>
              </w:rPr>
              <w:t xml:space="preserve">16</w:t>
            </w:r>
          </w:p>
        </w:tc>
        <w:tc>
          <w:tcPr>
            <w:tcW w:type="dxa" w:w="2600"/>
          </w:tcPr>
          <w:p>
            <w:r>
              <w:rPr>
                <w:b w:val="false"/>
                <w:bCs w:val="false"/>
                <w:i w:val="false"/>
                <w:iCs w:val="false"/>
                <w:sz w:val="19"/>
                <w:szCs w:val="19"/>
              </w:rPr>
              <w:t xml:space="preserve">My Status</w:t>
            </w:r>
          </w:p>
        </w:tc>
        <w:tc>
          <w:tcPr>
            <w:tcW w:type="dxa" w:w="1500"/>
          </w:tcPr>
          <w:p>
            <w:r>
              <w:rPr>
                <w:b w:val="false"/>
                <w:bCs w:val="false"/>
                <w:i w:val="false"/>
                <w:iCs w:val="false"/>
                <w:sz w:val="19"/>
                <w:szCs w:val="19"/>
              </w:rPr>
              <w:t xml:space="preserve">Unknown</w:t>
            </w:r>
          </w:p>
        </w:tc>
        <w:tc>
          <w:tcPr>
            <w:tcW w:type="dxa" w:w="5900"/>
          </w:tcPr>
          <w:p>
            <w:r>
              <w:rPr>
                <w:b w:val="false"/>
                <w:bCs w:val="false"/>
                <w:i/>
                <w:iCs/>
                <w:sz w:val="19"/>
                <w:szCs w:val="19"/>
              </w:rPr>
              <w:t xml:space="preserve">No usage commentary given — only a brief technical aside (“My status and my... well, that’s not saving.”).</w:t>
            </w:r>
          </w:p>
        </w:tc>
      </w:tr>
      <w:tr>
        <w:tc>
          <w:tcPr>
            <w:tcW w:type="dxa" w:w="520"/>
          </w:tcPr>
          <w:p>
            <w:r>
              <w:rPr>
                <w:b w:val="false"/>
                <w:bCs w:val="false"/>
                <w:i w:val="false"/>
                <w:iCs w:val="false"/>
                <w:sz w:val="19"/>
                <w:szCs w:val="19"/>
              </w:rPr>
              <w:t xml:space="preserve">17</w:t>
            </w:r>
          </w:p>
        </w:tc>
        <w:tc>
          <w:tcPr>
            <w:tcW w:type="dxa" w:w="2600"/>
          </w:tcPr>
          <w:p>
            <w:r>
              <w:rPr>
                <w:b w:val="false"/>
                <w:bCs w:val="false"/>
                <w:i w:val="false"/>
                <w:iCs w:val="false"/>
                <w:sz w:val="19"/>
                <w:szCs w:val="19"/>
              </w:rPr>
              <w:t xml:space="preserve">Empty Slot (Widget 12)</w:t>
            </w:r>
          </w:p>
        </w:tc>
        <w:tc>
          <w:tcPr>
            <w:tcW w:type="dxa" w:w="1500"/>
          </w:tcPr>
          <w:p>
            <w:r>
              <w:rPr>
                <w:b w:val="false"/>
                <w:bCs w:val="false"/>
                <w:i w:val="false"/>
                <w:iCs w:val="false"/>
                <w:sz w:val="19"/>
                <w:szCs w:val="19"/>
              </w:rPr>
              <w:t xml:space="preserve">Unknown / N/A</w:t>
            </w:r>
          </w:p>
        </w:tc>
        <w:tc>
          <w:tcPr>
            <w:tcW w:type="dxa" w:w="5900"/>
          </w:tcPr>
          <w:p>
            <w:r>
              <w:rPr>
                <w:b w:val="false"/>
                <w:bCs w:val="false"/>
                <w:i/>
                <w:iCs/>
                <w:sz w:val="19"/>
                <w:szCs w:val="19"/>
              </w:rPr>
              <w:t xml:space="preserve">Not mentioned anywhere in the transcript. Blank placeholder widget.</w:t>
            </w:r>
          </w:p>
        </w:tc>
      </w:tr>
    </w:tbl>
    <w:p>
      <w:pPr>
        <w:spacing w:after="200"/>
      </w:pPr>
    </w:p>
    <w:p>
      <w:pPr>
        <w:pStyle w:val="Heading1"/>
      </w:pPr>
      <w:r>
        <w:t xml:space="preserve">2. Role per Widget, by Church Size</w:t>
      </w:r>
    </w:p>
    <w:p>
      <w:r>
        <w:rPr>
          <w:i/>
          <w:iCs/>
          <w:sz w:val="19"/>
          <w:szCs w:val="19"/>
        </w:rPr>
        <w:t xml:space="preserve">Only splits mentioned directly in the interview are shown. Widgets with no role or size ever mentioned (Payroll Distributions, Fixed Asset Values, My Status, Bank Balances, Purchasing Management, Empty Slot) are omitted from this section rather than guessed at.</w:t>
      </w:r>
    </w:p>
    <w:p>
      <w:pPr>
        <w:spacing w:after="150"/>
      </w:pPr>
    </w:p>
    <w:p>
      <w:pPr>
        <w:pStyle w:val="Heading2"/>
      </w:pPr>
      <w:r>
        <w:t xml:space="preserve">2a. Big Church / Headquarters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5400"/>
      </w:tblGrid>
      <w:tr>
        <w:trPr>
          <w:tblHeader/>
        </w:trPr>
        <w:tc>
          <w:tcPr>
            <w:tcW w:type="dxa" w:w="3000"/>
            <w:shd w:fill="1F3864" w:val="clear"/>
          </w:tcPr>
          <w:p>
            <w:r>
              <w:rPr>
                <w:b/>
                <w:bCs/>
                <w:color w:val="FFFFFF"/>
                <w:sz w:val="19"/>
                <w:szCs w:val="19"/>
              </w:rPr>
              <w:t xml:space="preserve">Widget</w:t>
            </w:r>
          </w:p>
        </w:tc>
        <w:tc>
          <w:tcPr>
            <w:tcW w:type="dxa" w:w="2400"/>
            <w:shd w:fill="1F3864" w:val="clear"/>
          </w:tcPr>
          <w:p>
            <w:r>
              <w:rPr>
                <w:b/>
                <w:bCs/>
                <w:color w:val="FFFFFF"/>
                <w:sz w:val="19"/>
                <w:szCs w:val="19"/>
              </w:rPr>
              <w:t xml:space="preserve">Role</w:t>
            </w:r>
          </w:p>
        </w:tc>
        <w:tc>
          <w:tcPr>
            <w:tcW w:type="dxa" w:w="5400"/>
            <w:shd w:fill="1F3864" w:val="clear"/>
          </w:tcPr>
          <w:p>
            <w:r>
              <w:rPr>
                <w:b/>
                <w:bCs/>
                <w:color w:val="FFFFFF"/>
                <w:sz w:val="19"/>
                <w:szCs w:val="19"/>
              </w:rPr>
              <w:t xml:space="preserve">Quote</w:t>
            </w:r>
          </w:p>
        </w:tc>
      </w:tr>
      <w:tr>
        <w:tc>
          <w:tcPr>
            <w:tcW w:type="dxa" w:w="3000"/>
          </w:tcPr>
          <w:p>
            <w:r>
              <w:rPr>
                <w:b w:val="false"/>
                <w:bCs w:val="false"/>
                <w:i w:val="false"/>
                <w:iCs w:val="false"/>
                <w:sz w:val="19"/>
                <w:szCs w:val="19"/>
              </w:rPr>
              <w:t xml:space="preserve">Deposit Accounts</w:t>
            </w:r>
          </w:p>
        </w:tc>
        <w:tc>
          <w:tcPr>
            <w:tcW w:type="dxa" w:w="2400"/>
          </w:tcPr>
          <w:p>
            <w:r>
              <w:rPr>
                <w:b w:val="false"/>
                <w:bCs w:val="false"/>
                <w:i w:val="false"/>
                <w:iCs w:val="false"/>
                <w:sz w:val="19"/>
                <w:szCs w:val="19"/>
              </w:rPr>
              <w:t xml:space="preserve">HQ staff managing investments</w:t>
            </w:r>
          </w:p>
        </w:tc>
        <w:tc>
          <w:tcPr>
            <w:tcW w:type="dxa" w:w="5400"/>
          </w:tcPr>
          <w:p>
            <w:r>
              <w:rPr>
                <w:b w:val="false"/>
                <w:bCs w:val="false"/>
                <w:i w:val="false"/>
                <w:iCs w:val="false"/>
                <w:sz w:val="19"/>
                <w:szCs w:val="19"/>
              </w:rPr>
              <w:t xml:space="preserve">“...only used for HQs that are managing their own investments.”</w:t>
            </w:r>
          </w:p>
        </w:tc>
      </w:tr>
      <w:tr>
        <w:tc>
          <w:tcPr>
            <w:tcW w:type="dxa" w:w="3000"/>
          </w:tcPr>
          <w:p>
            <w:r>
              <w:rPr>
                <w:b w:val="false"/>
                <w:bCs w:val="false"/>
                <w:i w:val="false"/>
                <w:iCs w:val="false"/>
                <w:sz w:val="19"/>
                <w:szCs w:val="19"/>
              </w:rPr>
              <w:t xml:space="preserve">Loans With Balance Due</w:t>
            </w:r>
          </w:p>
        </w:tc>
        <w:tc>
          <w:tcPr>
            <w:tcW w:type="dxa" w:w="2400"/>
          </w:tcPr>
          <w:p>
            <w:r>
              <w:rPr>
                <w:b w:val="false"/>
                <w:bCs w:val="false"/>
                <w:i w:val="false"/>
                <w:iCs w:val="false"/>
                <w:sz w:val="19"/>
                <w:szCs w:val="19"/>
              </w:rPr>
              <w:t xml:space="preserve">HQ / Conference staff</w:t>
            </w:r>
          </w:p>
        </w:tc>
        <w:tc>
          <w:tcPr>
            <w:tcW w:type="dxa" w:w="5400"/>
          </w:tcPr>
          <w:p>
            <w:r>
              <w:rPr>
                <w:b w:val="false"/>
                <w:bCs w:val="false"/>
                <w:i w:val="false"/>
                <w:iCs w:val="false"/>
                <w:sz w:val="19"/>
                <w:szCs w:val="19"/>
              </w:rPr>
              <w:t xml:space="preserve">“...these are going to be HQ items. So this would be like a Methodist Conference.”</w:t>
            </w:r>
          </w:p>
        </w:tc>
      </w:tr>
      <w:tr>
        <w:tc>
          <w:tcPr>
            <w:tcW w:type="dxa" w:w="3000"/>
          </w:tcPr>
          <w:p>
            <w:r>
              <w:rPr>
                <w:b w:val="false"/>
                <w:bCs w:val="false"/>
                <w:i w:val="false"/>
                <w:iCs w:val="false"/>
                <w:sz w:val="19"/>
                <w:szCs w:val="19"/>
              </w:rPr>
              <w:t xml:space="preserve">Pension Plans</w:t>
            </w:r>
          </w:p>
        </w:tc>
        <w:tc>
          <w:tcPr>
            <w:tcW w:type="dxa" w:w="2400"/>
          </w:tcPr>
          <w:p>
            <w:r>
              <w:rPr>
                <w:b w:val="false"/>
                <w:bCs w:val="false"/>
                <w:i w:val="false"/>
                <w:iCs w:val="false"/>
                <w:sz w:val="19"/>
                <w:szCs w:val="19"/>
              </w:rPr>
              <w:t xml:space="preserve">Methodist conferences (org-level; specific title not given)</w:t>
            </w:r>
          </w:p>
        </w:tc>
        <w:tc>
          <w:tcPr>
            <w:tcW w:type="dxa" w:w="5400"/>
          </w:tcPr>
          <w:p>
            <w:r>
              <w:rPr>
                <w:b w:val="false"/>
                <w:bCs w:val="false"/>
                <w:i w:val="false"/>
                <w:iCs w:val="false"/>
                <w:sz w:val="19"/>
                <w:szCs w:val="19"/>
              </w:rPr>
              <w:t xml:space="preserve">“...used specifically for Methodist conferences.”</w:t>
            </w:r>
          </w:p>
        </w:tc>
      </w:tr>
      <w:tr>
        <w:tc>
          <w:tcPr>
            <w:tcW w:type="dxa" w:w="3000"/>
          </w:tcPr>
          <w:p>
            <w:r>
              <w:rPr>
                <w:b w:val="false"/>
                <w:bCs w:val="false"/>
                <w:i w:val="false"/>
                <w:iCs w:val="false"/>
                <w:sz w:val="19"/>
                <w:szCs w:val="19"/>
              </w:rPr>
              <w:t xml:space="preserve">Insurance Billing Plans</w:t>
            </w:r>
          </w:p>
        </w:tc>
        <w:tc>
          <w:tcPr>
            <w:tcW w:type="dxa" w:w="2400"/>
          </w:tcPr>
          <w:p>
            <w:r>
              <w:rPr>
                <w:b w:val="false"/>
                <w:bCs w:val="false"/>
                <w:i w:val="false"/>
                <w:iCs w:val="false"/>
                <w:sz w:val="19"/>
                <w:szCs w:val="19"/>
              </w:rPr>
              <w:t xml:space="preserve">Methodist conferences (org-level; specific title not given)</w:t>
            </w:r>
          </w:p>
        </w:tc>
        <w:tc>
          <w:tcPr>
            <w:tcW w:type="dxa" w:w="5400"/>
          </w:tcPr>
          <w:p>
            <w:r>
              <w:rPr>
                <w:b w:val="false"/>
                <w:bCs w:val="false"/>
                <w:i w:val="false"/>
                <w:iCs w:val="false"/>
                <w:sz w:val="19"/>
                <w:szCs w:val="19"/>
              </w:rPr>
              <w:t xml:space="preserve">Same quote as Pension Plans — Ben grouped the two together.</w:t>
            </w:r>
          </w:p>
        </w:tc>
      </w:tr>
      <w:tr>
        <w:tc>
          <w:tcPr>
            <w:tcW w:type="dxa" w:w="3000"/>
          </w:tcPr>
          <w:p>
            <w:r>
              <w:rPr>
                <w:b w:val="false"/>
                <w:bCs w:val="false"/>
                <w:i w:val="false"/>
                <w:iCs w:val="false"/>
                <w:sz w:val="19"/>
                <w:szCs w:val="19"/>
              </w:rPr>
              <w:t xml:space="preserve">Remittance Pledges</w:t>
            </w:r>
          </w:p>
        </w:tc>
        <w:tc>
          <w:tcPr>
            <w:tcW w:type="dxa" w:w="2400"/>
          </w:tcPr>
          <w:p>
            <w:r>
              <w:rPr>
                <w:b w:val="false"/>
                <w:bCs w:val="false"/>
                <w:i w:val="false"/>
                <w:iCs w:val="false"/>
                <w:sz w:val="19"/>
                <w:szCs w:val="19"/>
              </w:rPr>
              <w:t xml:space="preserve">Headquarters (specific title not given)</w:t>
            </w:r>
          </w:p>
        </w:tc>
        <w:tc>
          <w:tcPr>
            <w:tcW w:type="dxa" w:w="5400"/>
          </w:tcPr>
          <w:p>
            <w:r>
              <w:rPr>
                <w:b w:val="false"/>
                <w:bCs w:val="false"/>
                <w:i w:val="false"/>
                <w:iCs w:val="false"/>
                <w:sz w:val="19"/>
                <w:szCs w:val="19"/>
              </w:rPr>
              <w:t xml:space="preserve">“...that is also related specifically to headquarters.”</w:t>
            </w:r>
          </w:p>
        </w:tc>
      </w:tr>
      <w:tr>
        <w:tc>
          <w:tcPr>
            <w:tcW w:type="dxa" w:w="3000"/>
          </w:tcPr>
          <w:p>
            <w:r>
              <w:rPr>
                <w:b w:val="false"/>
                <w:bCs w:val="false"/>
                <w:i w:val="false"/>
                <w:iCs w:val="false"/>
                <w:sz w:val="19"/>
                <w:szCs w:val="19"/>
              </w:rPr>
              <w:t xml:space="preserve">Gifts Pledges</w:t>
            </w:r>
          </w:p>
        </w:tc>
        <w:tc>
          <w:tcPr>
            <w:tcW w:type="dxa" w:w="2400"/>
          </w:tcPr>
          <w:p>
            <w:r>
              <w:rPr>
                <w:b w:val="false"/>
                <w:bCs w:val="false"/>
                <w:i w:val="false"/>
                <w:iCs w:val="false"/>
                <w:sz w:val="19"/>
                <w:szCs w:val="19"/>
              </w:rPr>
              <w:t xml:space="preserve">Headquarters / nonprofit (specific title not given)</w:t>
            </w:r>
          </w:p>
        </w:tc>
        <w:tc>
          <w:tcPr>
            <w:tcW w:type="dxa" w:w="5400"/>
          </w:tcPr>
          <w:p>
            <w:r>
              <w:rPr>
                <w:b w:val="false"/>
                <w:bCs w:val="false"/>
                <w:i w:val="false"/>
                <w:iCs w:val="false"/>
                <w:sz w:val="19"/>
                <w:szCs w:val="19"/>
              </w:rPr>
              <w:t xml:space="preserve">“...that’s a headquarters project or a nonprofit organization.”</w:t>
            </w:r>
          </w:p>
        </w:tc>
      </w:tr>
      <w:tr>
        <w:tc>
          <w:tcPr>
            <w:tcW w:type="dxa" w:w="3000"/>
          </w:tcPr>
          <w:p>
            <w:r>
              <w:rPr>
                <w:b w:val="false"/>
                <w:bCs w:val="false"/>
                <w:i/>
                <w:iCs/>
                <w:sz w:val="19"/>
                <w:szCs w:val="19"/>
              </w:rPr>
              <w:t xml:space="preserve">General (not tied to one widget)</w:t>
            </w:r>
          </w:p>
        </w:tc>
        <w:tc>
          <w:tcPr>
            <w:tcW w:type="dxa" w:w="2400"/>
          </w:tcPr>
          <w:p>
            <w:r>
              <w:rPr>
                <w:b w:val="false"/>
                <w:bCs w:val="false"/>
                <w:i w:val="false"/>
                <w:iCs w:val="false"/>
                <w:sz w:val="19"/>
                <w:szCs w:val="19"/>
              </w:rPr>
              <w:t xml:space="preserve">Multiple named users — admins, supervisors, bookkeepers with separate logins</w:t>
            </w:r>
          </w:p>
        </w:tc>
        <w:tc>
          <w:tcPr>
            <w:tcW w:type="dxa" w:w="5400"/>
          </w:tcPr>
          <w:p>
            <w:r>
              <w:rPr>
                <w:b w:val="false"/>
                <w:bCs w:val="false"/>
                <w:i w:val="false"/>
                <w:iCs w:val="false"/>
                <w:sz w:val="19"/>
                <w:szCs w:val="19"/>
              </w:rPr>
              <w:t xml:space="preserve">“...the big clients, like the HQs and the big churches, that have multiple people that are in the system and they’re accessing it well and they’re benefiting from it.”</w:t>
            </w:r>
          </w:p>
        </w:tc>
      </w:tr>
    </w:tbl>
    <w:p>
      <w:pPr>
        <w:spacing w:after="200"/>
      </w:pPr>
    </w:p>
    <w:p>
      <w:pPr>
        <w:pStyle w:val="Heading2"/>
      </w:pPr>
      <w:r>
        <w:t xml:space="preserve">2b. Small Church</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5400"/>
      </w:tblGrid>
      <w:tr>
        <w:trPr>
          <w:tblHeader/>
        </w:trPr>
        <w:tc>
          <w:tcPr>
            <w:tcW w:type="dxa" w:w="3000"/>
            <w:shd w:fill="1F3864" w:val="clear"/>
          </w:tcPr>
          <w:p>
            <w:r>
              <w:rPr>
                <w:b/>
                <w:bCs/>
                <w:color w:val="FFFFFF"/>
                <w:sz w:val="19"/>
                <w:szCs w:val="19"/>
              </w:rPr>
              <w:t xml:space="preserve">Widget</w:t>
            </w:r>
          </w:p>
        </w:tc>
        <w:tc>
          <w:tcPr>
            <w:tcW w:type="dxa" w:w="2400"/>
            <w:shd w:fill="1F3864" w:val="clear"/>
          </w:tcPr>
          <w:p>
            <w:r>
              <w:rPr>
                <w:b/>
                <w:bCs/>
                <w:color w:val="FFFFFF"/>
                <w:sz w:val="19"/>
                <w:szCs w:val="19"/>
              </w:rPr>
              <w:t xml:space="preserve">Role</w:t>
            </w:r>
          </w:p>
        </w:tc>
        <w:tc>
          <w:tcPr>
            <w:tcW w:type="dxa" w:w="5400"/>
            <w:shd w:fill="1F3864" w:val="clear"/>
          </w:tcPr>
          <w:p>
            <w:r>
              <w:rPr>
                <w:b/>
                <w:bCs/>
                <w:color w:val="FFFFFF"/>
                <w:sz w:val="19"/>
                <w:szCs w:val="19"/>
              </w:rPr>
              <w:t xml:space="preserve">Quote</w:t>
            </w:r>
          </w:p>
        </w:tc>
      </w:tr>
      <w:tr>
        <w:tc>
          <w:tcPr>
            <w:tcW w:type="dxa" w:w="3000"/>
          </w:tcPr>
          <w:p>
            <w:r>
              <w:rPr>
                <w:b w:val="false"/>
                <w:bCs w:val="false"/>
                <w:i w:val="false"/>
                <w:iCs w:val="false"/>
                <w:sz w:val="19"/>
                <w:szCs w:val="19"/>
              </w:rPr>
              <w:t xml:space="preserve">Main Content Tasks (Quick Actions)</w:t>
            </w:r>
          </w:p>
        </w:tc>
        <w:tc>
          <w:tcPr>
            <w:tcW w:type="dxa" w:w="2400"/>
          </w:tcPr>
          <w:p>
            <w:r>
              <w:rPr>
                <w:b w:val="false"/>
                <w:bCs w:val="false"/>
                <w:i w:val="false"/>
                <w:iCs w:val="false"/>
                <w:sz w:val="19"/>
                <w:szCs w:val="19"/>
              </w:rPr>
              <w:t xml:space="preserve">Admin (one person doing everything)</w:t>
            </w:r>
          </w:p>
        </w:tc>
        <w:tc>
          <w:tcPr>
            <w:tcW w:type="dxa" w:w="5400"/>
          </w:tcPr>
          <w:p>
            <w:r>
              <w:rPr>
                <w:b w:val="false"/>
                <w:bCs w:val="false"/>
                <w:i w:val="false"/>
                <w:iCs w:val="false"/>
                <w:sz w:val="19"/>
                <w:szCs w:val="19"/>
              </w:rPr>
              <w:t xml:space="preserve">Framed explicitly around “an admin at a small to medium church.” Functional actions named: “I need to write an AP check... I need to run payroll... I need to be able to enter contribution checks.”</w:t>
            </w:r>
          </w:p>
        </w:tc>
      </w:tr>
      <w:tr>
        <w:tc>
          <w:tcPr>
            <w:tcW w:type="dxa" w:w="3000"/>
          </w:tcPr>
          <w:p>
            <w:r>
              <w:rPr>
                <w:b w:val="false"/>
                <w:bCs w:val="false"/>
                <w:i w:val="false"/>
                <w:iCs w:val="false"/>
                <w:sz w:val="19"/>
                <w:szCs w:val="19"/>
              </w:rPr>
              <w:t xml:space="preserve">Budget Compared to Actual</w:t>
            </w:r>
          </w:p>
        </w:tc>
        <w:tc>
          <w:tcPr>
            <w:tcW w:type="dxa" w:w="2400"/>
          </w:tcPr>
          <w:p>
            <w:r>
              <w:rPr>
                <w:b w:val="false"/>
                <w:bCs w:val="false"/>
                <w:i w:val="false"/>
                <w:iCs w:val="false"/>
                <w:sz w:val="19"/>
                <w:szCs w:val="19"/>
              </w:rPr>
              <w:t xml:space="preserve">Treasurer / Finance Committee Chair / Church Administrator</w:t>
            </w:r>
          </w:p>
        </w:tc>
        <w:tc>
          <w:tcPr>
            <w:tcW w:type="dxa" w:w="5400"/>
          </w:tcPr>
          <w:p>
            <w:r>
              <w:rPr>
                <w:b w:val="false"/>
                <w:bCs w:val="false"/>
                <w:i w:val="false"/>
                <w:iCs w:val="false"/>
                <w:sz w:val="19"/>
                <w:szCs w:val="19"/>
              </w:rPr>
              <w:t xml:space="preserve">“I think it’d be whoever the supervisor is of the bookkeeper, whether it’s the treasurer, the finance committee chair, or the church administrator.” — confirmed “a single church,” not multi-church.</w:t>
            </w:r>
          </w:p>
        </w:tc>
      </w:tr>
      <w:tr>
        <w:tc>
          <w:tcPr>
            <w:tcW w:type="dxa" w:w="3000"/>
          </w:tcPr>
          <w:p>
            <w:r>
              <w:rPr>
                <w:b w:val="false"/>
                <w:bCs w:val="false"/>
                <w:i/>
                <w:iCs/>
                <w:sz w:val="19"/>
                <w:szCs w:val="19"/>
              </w:rPr>
              <w:t xml:space="preserve">General (not tied to one widget)</w:t>
            </w:r>
          </w:p>
        </w:tc>
        <w:tc>
          <w:tcPr>
            <w:tcW w:type="dxa" w:w="2400"/>
          </w:tcPr>
          <w:p>
            <w:r>
              <w:rPr>
                <w:b w:val="false"/>
                <w:bCs w:val="false"/>
                <w:i w:val="false"/>
                <w:iCs w:val="false"/>
                <w:sz w:val="19"/>
                <w:szCs w:val="19"/>
              </w:rPr>
              <w:t xml:space="preserve">One overwhelmed person doing every role</w:t>
            </w:r>
          </w:p>
        </w:tc>
        <w:tc>
          <w:tcPr>
            <w:tcW w:type="dxa" w:w="5400"/>
          </w:tcPr>
          <w:p>
            <w:r>
              <w:rPr>
                <w:b w:val="false"/>
                <w:bCs w:val="false"/>
                <w:i w:val="false"/>
                <w:iCs w:val="false"/>
                <w:sz w:val="19"/>
                <w:szCs w:val="19"/>
              </w:rPr>
              <w:t xml:space="preserve">“...these small churches that run 100 or 200, and there’s one person that’s doing everything and they’re overwhelmed. So they’re not getting the benefit from those widgets because they’re just flying right past them, going to where they’re actually putting in the transactions.”</w:t>
            </w:r>
          </w:p>
        </w:tc>
      </w:tr>
    </w:tbl>
    <w:p>
      <w:pPr>
        <w:spacing w:after="200"/>
      </w:pPr>
    </w:p>
    <w:p>
      <w:pPr>
        <w:pStyle w:val="Heading2"/>
      </w:pPr>
      <w:r>
        <w:t xml:space="preserve">2c. Mentioned, but not tied to a specific church size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5400"/>
      </w:tblGrid>
      <w:tr>
        <w:trPr>
          <w:tblHeader/>
        </w:trPr>
        <w:tc>
          <w:tcPr>
            <w:tcW w:type="dxa" w:w="3000"/>
            <w:shd w:fill="1F3864" w:val="clear"/>
          </w:tcPr>
          <w:p>
            <w:r>
              <w:rPr>
                <w:b/>
                <w:bCs/>
                <w:color w:val="FFFFFF"/>
                <w:sz w:val="19"/>
                <w:szCs w:val="19"/>
              </w:rPr>
              <w:t xml:space="preserve">Widget</w:t>
            </w:r>
          </w:p>
        </w:tc>
        <w:tc>
          <w:tcPr>
            <w:tcW w:type="dxa" w:w="2400"/>
            <w:shd w:fill="1F3864" w:val="clear"/>
          </w:tcPr>
          <w:p>
            <w:r>
              <w:rPr>
                <w:b/>
                <w:bCs/>
                <w:color w:val="FFFFFF"/>
                <w:sz w:val="19"/>
                <w:szCs w:val="19"/>
              </w:rPr>
              <w:t xml:space="preserve">Role</w:t>
            </w:r>
          </w:p>
        </w:tc>
        <w:tc>
          <w:tcPr>
            <w:tcW w:type="dxa" w:w="5400"/>
            <w:shd w:fill="1F3864" w:val="clear"/>
          </w:tcPr>
          <w:p>
            <w:r>
              <w:rPr>
                <w:b/>
                <w:bCs/>
                <w:color w:val="FFFFFF"/>
                <w:sz w:val="19"/>
                <w:szCs w:val="19"/>
              </w:rPr>
              <w:t xml:space="preserve">Quote</w:t>
            </w:r>
          </w:p>
        </w:tc>
      </w:tr>
      <w:tr>
        <w:tc>
          <w:tcPr>
            <w:tcW w:type="dxa" w:w="3000"/>
          </w:tcPr>
          <w:p>
            <w:r>
              <w:rPr>
                <w:b w:val="false"/>
                <w:bCs w:val="false"/>
                <w:i w:val="false"/>
                <w:iCs w:val="false"/>
                <w:sz w:val="19"/>
                <w:szCs w:val="19"/>
              </w:rPr>
              <w:t xml:space="preserve">Accounts Payable By Due Date</w:t>
            </w:r>
          </w:p>
        </w:tc>
        <w:tc>
          <w:tcPr>
            <w:tcW w:type="dxa" w:w="2400"/>
          </w:tcPr>
          <w:p>
            <w:r>
              <w:rPr>
                <w:b w:val="false"/>
                <w:bCs w:val="false"/>
                <w:i w:val="false"/>
                <w:iCs w:val="false"/>
                <w:sz w:val="19"/>
                <w:szCs w:val="19"/>
              </w:rPr>
              <w:t xml:space="preserve">Two roles: Bookkeeper (entry) + Supervisor (approver)</w:t>
            </w:r>
          </w:p>
        </w:tc>
        <w:tc>
          <w:tcPr>
            <w:tcW w:type="dxa" w:w="5400"/>
          </w:tcPr>
          <w:p>
            <w:r>
              <w:rPr>
                <w:b w:val="false"/>
                <w:bCs w:val="false"/>
                <w:i w:val="false"/>
                <w:iCs w:val="false"/>
                <w:sz w:val="19"/>
                <w:szCs w:val="19"/>
              </w:rPr>
              <w:t xml:space="preserve">“The people that are entering the invoices... are putting that in there, but the people that are... approving the invoices... they’ll be looking at... reviewing the receipts or the attachments and notes... whether the person has budget left.” Church size not specified for this split.</w:t>
            </w:r>
          </w:p>
        </w:tc>
      </w:tr>
      <w:tr>
        <w:tc>
          <w:tcPr>
            <w:tcW w:type="dxa" w:w="3000"/>
          </w:tcPr>
          <w:p>
            <w:r>
              <w:rPr>
                <w:b w:val="false"/>
                <w:bCs w:val="false"/>
                <w:i/>
                <w:iCs/>
                <w:sz w:val="19"/>
                <w:szCs w:val="19"/>
              </w:rPr>
              <w:t xml:space="preserve">General (not tied to one widget)</w:t>
            </w:r>
          </w:p>
        </w:tc>
        <w:tc>
          <w:tcPr>
            <w:tcW w:type="dxa" w:w="2400"/>
          </w:tcPr>
          <w:p>
            <w:r>
              <w:rPr>
                <w:b w:val="false"/>
                <w:bCs w:val="false"/>
                <w:i w:val="false"/>
                <w:iCs w:val="false"/>
                <w:sz w:val="19"/>
                <w:szCs w:val="19"/>
              </w:rPr>
              <w:t xml:space="preserve">Administrator / Supervisor</w:t>
            </w:r>
          </w:p>
        </w:tc>
        <w:tc>
          <w:tcPr>
            <w:tcW w:type="dxa" w:w="5400"/>
          </w:tcPr>
          <w:p>
            <w:r>
              <w:rPr>
                <w:b w:val="false"/>
                <w:bCs w:val="false"/>
                <w:i w:val="false"/>
                <w:iCs w:val="false"/>
                <w:sz w:val="19"/>
                <w:szCs w:val="19"/>
              </w:rPr>
              <w:t xml:space="preserve">“I think the people that benefit from the widget are more the administrators or supervisors.” Not tied to a specific church size in this statement.</w:t>
            </w:r>
          </w:p>
        </w:tc>
      </w:tr>
    </w:tbl>
    <w:p>
      <w:pPr>
        <w:spacing w:after="200"/>
      </w:pPr>
    </w:p>
    <w:p>
      <w:pPr>
        <w:pStyle w:val="Heading1"/>
      </w:pPr>
      <w:r>
        <w:t xml:space="preserve">3. Default Dashboard Priority — Top 8</w:t>
      </w:r>
    </w:p>
    <w:p>
      <w:r>
        <w:rPr>
          <w:i/>
          <w:iCs/>
          <w:sz w:val="19"/>
          <w:szCs w:val="19"/>
        </w:rPr>
        <w:t xml:space="preserve">Selection rule: must rank high on the usage table above, and must be usable across more than one role or church type (generic) rather than niche to a single org type. Widgets with low usage in general (all of the HQ-only/Methodist-conference-only widgets, Fixed Assets, and the Unknowns) are excluded regardless of how generic their concept is.</w:t>
      </w:r>
    </w:p>
    <w:p>
      <w:pPr>
        <w:spacing w:after="10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00"/>
        <w:gridCol w:w="2900"/>
        <w:gridCol w:w="7500"/>
      </w:tblGrid>
      <w:tr>
        <w:trPr>
          <w:tblHeader/>
        </w:trPr>
        <w:tc>
          <w:tcPr>
            <w:tcW w:type="dxa" w:w="400"/>
            <w:shd w:fill="1F3864" w:val="clear"/>
          </w:tcPr>
          <w:p>
            <w:r>
              <w:rPr>
                <w:b/>
                <w:bCs/>
                <w:color w:val="FFFFFF"/>
                <w:sz w:val="19"/>
                <w:szCs w:val="19"/>
              </w:rPr>
              <w:t xml:space="preserve">#</w:t>
            </w:r>
          </w:p>
        </w:tc>
        <w:tc>
          <w:tcPr>
            <w:tcW w:type="dxa" w:w="2900"/>
            <w:shd w:fill="1F3864" w:val="clear"/>
          </w:tcPr>
          <w:p>
            <w:r>
              <w:rPr>
                <w:b/>
                <w:bCs/>
                <w:color w:val="FFFFFF"/>
                <w:sz w:val="19"/>
                <w:szCs w:val="19"/>
              </w:rPr>
              <w:t xml:space="preserve">Widget</w:t>
            </w:r>
          </w:p>
        </w:tc>
        <w:tc>
          <w:tcPr>
            <w:tcW w:type="dxa" w:w="7500"/>
            <w:shd w:fill="1F3864" w:val="clear"/>
          </w:tcPr>
          <w:p>
            <w:r>
              <w:rPr>
                <w:b/>
                <w:bCs/>
                <w:color w:val="FFFFFF"/>
                <w:sz w:val="19"/>
                <w:szCs w:val="19"/>
              </w:rPr>
              <w:t xml:space="preserve">Reason</w:t>
            </w:r>
          </w:p>
        </w:tc>
      </w:tr>
      <w:tr>
        <w:tc>
          <w:tcPr>
            <w:tcW w:type="dxa" w:w="400"/>
          </w:tcPr>
          <w:p>
            <w:r>
              <w:rPr>
                <w:b w:val="false"/>
                <w:bCs w:val="false"/>
                <w:i w:val="false"/>
                <w:iCs w:val="false"/>
                <w:sz w:val="19"/>
                <w:szCs w:val="19"/>
              </w:rPr>
              <w:t xml:space="preserve">1</w:t>
            </w:r>
          </w:p>
        </w:tc>
        <w:tc>
          <w:tcPr>
            <w:tcW w:type="dxa" w:w="2900"/>
          </w:tcPr>
          <w:p>
            <w:r>
              <w:rPr>
                <w:b w:val="false"/>
                <w:bCs w:val="false"/>
                <w:i w:val="false"/>
                <w:iCs w:val="false"/>
                <w:sz w:val="19"/>
                <w:szCs w:val="19"/>
              </w:rPr>
              <w:t xml:space="preserve">Bank Balances (Bank Account Management)</w:t>
            </w:r>
          </w:p>
        </w:tc>
        <w:tc>
          <w:tcPr>
            <w:tcW w:type="dxa" w:w="7500"/>
          </w:tcPr>
          <w:p>
            <w:r>
              <w:rPr>
                <w:b w:val="false"/>
                <w:bCs w:val="false"/>
                <w:i w:val="false"/>
                <w:iCs w:val="false"/>
                <w:sz w:val="19"/>
                <w:szCs w:val="19"/>
              </w:rPr>
              <w:t xml:space="preserve">Highest confirmed usage of any widget, and the base package. No org-size or role restriction is ever mentioned — implying it's relevant everywhere.</w:t>
            </w:r>
          </w:p>
        </w:tc>
      </w:tr>
      <w:tr>
        <w:tc>
          <w:tcPr>
            <w:tcW w:type="dxa" w:w="400"/>
          </w:tcPr>
          <w:p>
            <w:r>
              <w:rPr>
                <w:b w:val="false"/>
                <w:bCs w:val="false"/>
                <w:i w:val="false"/>
                <w:iCs w:val="false"/>
                <w:sz w:val="19"/>
                <w:szCs w:val="19"/>
              </w:rPr>
              <w:t xml:space="preserve">2</w:t>
            </w:r>
          </w:p>
        </w:tc>
        <w:tc>
          <w:tcPr>
            <w:tcW w:type="dxa" w:w="2900"/>
          </w:tcPr>
          <w:p>
            <w:r>
              <w:rPr>
                <w:b w:val="false"/>
                <w:bCs w:val="false"/>
                <w:i w:val="false"/>
                <w:iCs w:val="false"/>
                <w:sz w:val="19"/>
                <w:szCs w:val="19"/>
              </w:rPr>
              <w:t xml:space="preserve">Payroll Distributions</w:t>
            </w:r>
          </w:p>
        </w:tc>
        <w:tc>
          <w:tcPr>
            <w:tcW w:type="dxa" w:w="7500"/>
          </w:tcPr>
          <w:p>
            <w:r>
              <w:rPr>
                <w:b w:val="false"/>
                <w:bCs w:val="false"/>
                <w:i w:val="false"/>
                <w:iCs w:val="false"/>
                <w:sz w:val="19"/>
                <w:szCs w:val="19"/>
              </w:rPr>
              <w:t xml:space="preserve">High usage (“liked... really well”), and part of the core-focus module list (“add Payroll”). Payroll is needed by any org running staff, big or small.</w:t>
            </w:r>
          </w:p>
        </w:tc>
      </w:tr>
      <w:tr>
        <w:tc>
          <w:tcPr>
            <w:tcW w:type="dxa" w:w="400"/>
          </w:tcPr>
          <w:p>
            <w:r>
              <w:rPr>
                <w:b w:val="false"/>
                <w:bCs w:val="false"/>
                <w:i w:val="false"/>
                <w:iCs w:val="false"/>
                <w:sz w:val="19"/>
                <w:szCs w:val="19"/>
              </w:rPr>
              <w:t xml:space="preserve">3</w:t>
            </w:r>
          </w:p>
        </w:tc>
        <w:tc>
          <w:tcPr>
            <w:tcW w:type="dxa" w:w="2900"/>
          </w:tcPr>
          <w:p>
            <w:r>
              <w:rPr>
                <w:b w:val="false"/>
                <w:bCs w:val="false"/>
                <w:i w:val="false"/>
                <w:iCs w:val="false"/>
                <w:sz w:val="19"/>
                <w:szCs w:val="19"/>
              </w:rPr>
              <w:t xml:space="preserve">Main Content Tasks (Quick Actions)</w:t>
            </w:r>
          </w:p>
        </w:tc>
        <w:tc>
          <w:tcPr>
            <w:tcW w:type="dxa" w:w="7500"/>
          </w:tcPr>
          <w:p>
            <w:r>
              <w:rPr>
                <w:b w:val="false"/>
                <w:bCs w:val="false"/>
                <w:i w:val="false"/>
                <w:iCs w:val="false"/>
                <w:sz w:val="19"/>
                <w:szCs w:val="19"/>
              </w:rPr>
              <w:t xml:space="preserve">Already outperforming other widgets today (“used a lot... moving that up higher than the graphs”). Explicitly built around the small-to-medium church admin, but the functional/click-to-task concept applies to any org.</w:t>
            </w:r>
          </w:p>
        </w:tc>
      </w:tr>
      <w:tr>
        <w:tc>
          <w:tcPr>
            <w:tcW w:type="dxa" w:w="400"/>
          </w:tcPr>
          <w:p>
            <w:r>
              <w:rPr>
                <w:b w:val="false"/>
                <w:bCs w:val="false"/>
                <w:i w:val="false"/>
                <w:iCs w:val="false"/>
                <w:sz w:val="19"/>
                <w:szCs w:val="19"/>
              </w:rPr>
              <w:t xml:space="preserve">4</w:t>
            </w:r>
          </w:p>
        </w:tc>
        <w:tc>
          <w:tcPr>
            <w:tcW w:type="dxa" w:w="2900"/>
          </w:tcPr>
          <w:p>
            <w:r>
              <w:rPr>
                <w:b w:val="false"/>
                <w:bCs w:val="false"/>
                <w:i w:val="false"/>
                <w:iCs w:val="false"/>
                <w:sz w:val="19"/>
                <w:szCs w:val="19"/>
              </w:rPr>
              <w:t xml:space="preserve">Purchasing Management</w:t>
            </w:r>
          </w:p>
        </w:tc>
        <w:tc>
          <w:tcPr>
            <w:tcW w:type="dxa" w:w="7500"/>
          </w:tcPr>
          <w:p>
            <w:r>
              <w:rPr>
                <w:b w:val="false"/>
                <w:bCs w:val="false"/>
                <w:i w:val="false"/>
                <w:iCs w:val="false"/>
                <w:sz w:val="19"/>
                <w:szCs w:val="19"/>
              </w:rPr>
              <w:t xml:space="preserve">High usage among adopters and one of only two widgets people actually stop and engage with. On Ben's core-focus list, explicitly contrasted with the HQ-only widgets as something “can be used by any of our clients.”</w:t>
            </w:r>
          </w:p>
        </w:tc>
      </w:tr>
      <w:tr>
        <w:tc>
          <w:tcPr>
            <w:tcW w:type="dxa" w:w="400"/>
          </w:tcPr>
          <w:p>
            <w:r>
              <w:rPr>
                <w:b w:val="false"/>
                <w:bCs w:val="false"/>
                <w:i w:val="false"/>
                <w:iCs w:val="false"/>
                <w:sz w:val="19"/>
                <w:szCs w:val="19"/>
              </w:rPr>
              <w:t xml:space="preserve">5</w:t>
            </w:r>
          </w:p>
        </w:tc>
        <w:tc>
          <w:tcPr>
            <w:tcW w:type="dxa" w:w="2900"/>
          </w:tcPr>
          <w:p>
            <w:r>
              <w:rPr>
                <w:b w:val="false"/>
                <w:bCs w:val="false"/>
                <w:i w:val="false"/>
                <w:iCs w:val="false"/>
                <w:sz w:val="19"/>
                <w:szCs w:val="19"/>
              </w:rPr>
              <w:t xml:space="preserve">Receivable Invoices Outstanding (AR)</w:t>
            </w:r>
          </w:p>
        </w:tc>
        <w:tc>
          <w:tcPr>
            <w:tcW w:type="dxa" w:w="7500"/>
          </w:tcPr>
          <w:p>
            <w:r>
              <w:rPr>
                <w:b w:val="false"/>
                <w:bCs w:val="false"/>
                <w:i w:val="false"/>
                <w:iCs w:val="false"/>
                <w:sz w:val="19"/>
                <w:szCs w:val="19"/>
              </w:rPr>
              <w:t xml:space="preserve">Adoption-gated but on the same “can be used by any of our clients” core-focus list, not restricted to one role or org type.</w:t>
            </w:r>
          </w:p>
        </w:tc>
      </w:tr>
      <w:tr>
        <w:tc>
          <w:tcPr>
            <w:tcW w:type="dxa" w:w="400"/>
          </w:tcPr>
          <w:p>
            <w:r>
              <w:rPr>
                <w:b w:val="false"/>
                <w:bCs w:val="false"/>
                <w:i w:val="false"/>
                <w:iCs w:val="false"/>
                <w:sz w:val="19"/>
                <w:szCs w:val="19"/>
              </w:rPr>
              <w:t xml:space="preserve">6</w:t>
            </w:r>
          </w:p>
        </w:tc>
        <w:tc>
          <w:tcPr>
            <w:tcW w:type="dxa" w:w="2900"/>
          </w:tcPr>
          <w:p>
            <w:r>
              <w:rPr>
                <w:b w:val="false"/>
                <w:bCs w:val="false"/>
                <w:i w:val="false"/>
                <w:iCs w:val="false"/>
                <w:sz w:val="19"/>
                <w:szCs w:val="19"/>
              </w:rPr>
              <w:t xml:space="preserve">Accounts Payable By Due Date</w:t>
            </w:r>
          </w:p>
        </w:tc>
        <w:tc>
          <w:tcPr>
            <w:tcW w:type="dxa" w:w="7500"/>
          </w:tcPr>
          <w:p>
            <w:r>
              <w:rPr>
                <w:b w:val="false"/>
                <w:bCs w:val="false"/>
                <w:i w:val="false"/>
                <w:iCs w:val="false"/>
                <w:sz w:val="19"/>
                <w:szCs w:val="19"/>
              </w:rPr>
              <w:t xml:space="preserve">Core base-package module (grouped with GL and Bank Account Management). Two distinct roles interact with it (entry + approval), showing it isn't a single-role tool — the low current usage is about one specific workflow (invoice-then-pay), not the module itself.</w:t>
            </w:r>
          </w:p>
        </w:tc>
      </w:tr>
      <w:tr>
        <w:tc>
          <w:tcPr>
            <w:tcW w:type="dxa" w:w="400"/>
          </w:tcPr>
          <w:p>
            <w:r>
              <w:rPr>
                <w:b w:val="false"/>
                <w:bCs w:val="false"/>
                <w:i w:val="false"/>
                <w:iCs w:val="false"/>
                <w:sz w:val="19"/>
                <w:szCs w:val="19"/>
              </w:rPr>
              <w:t xml:space="preserve">7</w:t>
            </w:r>
          </w:p>
        </w:tc>
        <w:tc>
          <w:tcPr>
            <w:tcW w:type="dxa" w:w="2900"/>
          </w:tcPr>
          <w:p>
            <w:r>
              <w:rPr>
                <w:b w:val="false"/>
                <w:bCs w:val="false"/>
                <w:i w:val="false"/>
                <w:iCs w:val="false"/>
                <w:sz w:val="19"/>
                <w:szCs w:val="19"/>
              </w:rPr>
              <w:t xml:space="preserve">Budget Compared to Actual</w:t>
            </w:r>
          </w:p>
        </w:tc>
        <w:tc>
          <w:tcPr>
            <w:tcW w:type="dxa" w:w="7500"/>
          </w:tcPr>
          <w:p>
            <w:r>
              <w:rPr>
                <w:b w:val="false"/>
                <w:bCs w:val="false"/>
                <w:i w:val="false"/>
                <w:iCs w:val="false"/>
                <w:sz w:val="19"/>
                <w:szCs w:val="19"/>
              </w:rPr>
              <w:t xml:space="preserve">Usage is low today, but the underlying need is close to universal: “the vast majority of our clients use budgets.” Three named roles can use it (treasurer, finance committee chair, church administrator) at the single-church level — the majority segment by sales. Low usage here reads as a design gap, not a lack of relevance.</w:t>
            </w:r>
          </w:p>
        </w:tc>
      </w:tr>
      <w:tr>
        <w:tc>
          <w:tcPr>
            <w:tcW w:type="dxa" w:w="400"/>
          </w:tcPr>
          <w:p>
            <w:r>
              <w:rPr>
                <w:b w:val="false"/>
                <w:bCs w:val="false"/>
                <w:i w:val="false"/>
                <w:iCs w:val="false"/>
                <w:sz w:val="19"/>
                <w:szCs w:val="19"/>
              </w:rPr>
              <w:t xml:space="preserve">8</w:t>
            </w:r>
          </w:p>
        </w:tc>
        <w:tc>
          <w:tcPr>
            <w:tcW w:type="dxa" w:w="2900"/>
          </w:tcPr>
          <w:p>
            <w:r>
              <w:rPr>
                <w:b w:val="false"/>
                <w:bCs w:val="false"/>
                <w:i w:val="false"/>
                <w:iCs w:val="false"/>
                <w:sz w:val="19"/>
                <w:szCs w:val="19"/>
              </w:rPr>
              <w:t xml:space="preserve">Payroll Scheduled Time Off</w:t>
            </w:r>
          </w:p>
        </w:tc>
        <w:tc>
          <w:tcPr>
            <w:tcW w:type="dxa" w:w="7500"/>
          </w:tcPr>
          <w:p>
            <w:r>
              <w:rPr>
                <w:b w:val="false"/>
                <w:bCs w:val="false"/>
                <w:i w:val="false"/>
                <w:iCs w:val="false"/>
                <w:sz w:val="19"/>
                <w:szCs w:val="19"/>
              </w:rPr>
              <w:t xml:space="preserve">Tied to Payroll, a core module any org can use. Usage is adoption-gated (“not everybody uses... the scheduled time off function”), similar to AR/Purchasing — not restricted to one org type or role the way the HQ-only widgets are.</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2026-07-13T12:08:12.639Z</dcterms:created>
  <dcterms:modified xsi:type="dcterms:W3CDTF">2026-07-13T12:08:12.639Z</dcterms:modified>
</cp:coreProperties>
</file>

<file path=docProps/custom.xml><?xml version="1.0" encoding="utf-8"?>
<Properties xmlns="http://schemas.openxmlformats.org/officeDocument/2006/custom-properties" xmlns:vt="http://schemas.openxmlformats.org/officeDocument/2006/docPropsVTypes"/>
</file>