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IP-SAKTI Sahayak</w:t>
      </w:r>
    </w:p>
    <w:p>
      <w:pPr>
        <w:jc w:val="center"/>
      </w:pPr>
      <w:r>
        <w:rPr>
          <w:b/>
          <w:sz w:val="32"/>
        </w:rPr>
        <w:t>Product Requirements Document (PRD)</w:t>
      </w:r>
    </w:p>
    <w:p>
      <w:pPr>
        <w:jc w:val="center"/>
      </w:pPr>
      <w:r>
        <w:rPr>
          <w:i/>
        </w:rPr>
        <w:t>Multilingual, Source-Cited, RAG-Based Ayurvedic IP &amp; Regulatory Navigator</w:t>
      </w:r>
    </w:p>
    <w:p>
      <w:r>
        <w:t>Version: 1.0 | Date: 1 September 2026 | Hackathon: Smart India Hackathon (SIH)</w:t>
      </w:r>
    </w:p>
    <w:p>
      <w:pPr>
        <w:pStyle w:val="Heading1"/>
      </w:pPr>
      <w:r>
        <w:t>1. Executive Summary</w:t>
      </w:r>
    </w:p>
    <w:p>
      <w:r>
        <w:t>IP-SAKTI Sahayak is a case-aware, multilingual AI assistant for Ayurveda practitioners, researchers, startups, MSMEs and cultivators. It helps users determine which Intellectual Property (IP), Traditional Knowledge (TK), Access and Benefit Sharing (ABS), biological-resource, product-classification and regulatory regimes may apply to a specific Ayurvedic product or innovation.</w:t>
      </w:r>
    </w:p>
    <w:p>
      <w:r>
        <w:t>The system is not a generic legal chatbot. It first builds a structured product case, classifies the product and its intended use, identifies potentially relevant legal domains and jurisdictions, retrieves authoritative evidence from a curated and version-tracked corpus, and returns a structured guidance path with mandatory citations, confidence indicators, reasons for applicability, and safe abstention/escalation when evidence is insufficient or risk is high.</w:t>
      </w:r>
    </w:p>
    <w:p>
      <w:pPr>
        <w:pStyle w:val="Heading1"/>
      </w:pPr>
      <w:r>
        <w:t>2. One-Line Problem Statement</w:t>
      </w:r>
    </w:p>
    <w:p>
      <w:r>
        <w:t>Ayurvedic products के लिए Traditional Knowledge, IP, biological-resource/ABS और product-regulatory information अलग-अलग laws, authorities और jurisdictions में fragmented है, जिससे AYUSH startups, researchers, practitioners और MSMEs के लिए अपने specific product पर applicable legal pathway समझना difficult हो जाता है।</w:t>
      </w:r>
    </w:p>
    <w:p>
      <w:pPr>
        <w:pStyle w:val="Heading1"/>
      </w:pPr>
      <w:r>
        <w:t>3. Problem Definition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Element</w:t>
            </w:r>
          </w:p>
        </w:tc>
        <w:tc>
          <w:tcPr>
            <w:tcW w:type="dxa" w:w="5112"/>
          </w:tcPr>
          <w:p>
            <w:r>
              <w:rPr>
                <w:b/>
              </w:rPr>
              <w:t>Definition</w:t>
            </w:r>
          </w:p>
        </w:tc>
      </w:tr>
      <w:tr>
        <w:tc>
          <w:tcPr>
            <w:tcW w:type="dxa" w:w="5112"/>
            <w:vAlign w:val="top"/>
          </w:tcPr>
          <w:p>
            <w:r>
              <w:t>Problem</w:t>
            </w:r>
          </w:p>
        </w:tc>
        <w:tc>
          <w:tcPr>
            <w:tcW w:type="dxa" w:w="5112"/>
            <w:vAlign w:val="top"/>
          </w:tcPr>
          <w:p>
            <w:r>
              <w:t>Fragmented Ayurveda IPR + regulatory ecosystem</w:t>
            </w:r>
          </w:p>
        </w:tc>
      </w:tr>
      <w:tr>
        <w:tc>
          <w:tcPr>
            <w:tcW w:type="dxa" w:w="5112"/>
            <w:vAlign w:val="top"/>
          </w:tcPr>
          <w:p>
            <w:r>
              <w:t>Users</w:t>
            </w:r>
          </w:p>
        </w:tc>
        <w:tc>
          <w:tcPr>
            <w:tcW w:type="dxa" w:w="5112"/>
            <w:vAlign w:val="top"/>
          </w:tcPr>
          <w:p>
            <w:r>
              <w:t>AYUSH startups, researchers, practitioners, MSMEs, cultivators</w:t>
            </w:r>
          </w:p>
        </w:tc>
      </w:tr>
      <w:tr>
        <w:tc>
          <w:tcPr>
            <w:tcW w:type="dxa" w:w="5112"/>
            <w:vAlign w:val="top"/>
          </w:tcPr>
          <w:p>
            <w:r>
              <w:t>Pain Point</w:t>
            </w:r>
          </w:p>
        </w:tc>
        <w:tc>
          <w:tcPr>
            <w:tcW w:type="dxa" w:w="5112"/>
            <w:vAlign w:val="top"/>
          </w:tcPr>
          <w:p>
            <w:r>
              <w:t>“मेरे product पर exactly क्या लागू होता है?”</w:t>
            </w:r>
          </w:p>
        </w:tc>
      </w:tr>
      <w:tr>
        <w:tc>
          <w:tcPr>
            <w:tcW w:type="dxa" w:w="5112"/>
            <w:vAlign w:val="top"/>
          </w:tcPr>
          <w:p>
            <w:r>
              <w:t>Constraints</w:t>
            </w:r>
          </w:p>
        </w:tc>
        <w:tc>
          <w:tcPr>
            <w:tcW w:type="dxa" w:w="5112"/>
            <w:vAlign w:val="top"/>
          </w:tcPr>
          <w:p>
            <w:r>
              <w:t>Multiple laws, classifications, authorities, jurisdictions and changing rules</w:t>
            </w:r>
          </w:p>
        </w:tc>
      </w:tr>
      <w:tr>
        <w:tc>
          <w:tcPr>
            <w:tcW w:type="dxa" w:w="5112"/>
            <w:vAlign w:val="top"/>
          </w:tcPr>
          <w:p>
            <w:r>
              <w:t>Existing Systems</w:t>
            </w:r>
          </w:p>
        </w:tc>
        <w:tc>
          <w:tcPr>
            <w:tcW w:type="dxa" w:w="5112"/>
            <w:vAlign w:val="top"/>
          </w:tcPr>
          <w:p>
            <w:r>
              <w:t>TKDL, IP India, WIPO, AYUSH authorities, biodiversity authorities, FSSAI/CDSCO and expert facilitators</w:t>
            </w:r>
          </w:p>
        </w:tc>
      </w:tr>
      <w:tr>
        <w:tc>
          <w:tcPr>
            <w:tcW w:type="dxa" w:w="5112"/>
            <w:vAlign w:val="top"/>
          </w:tcPr>
          <w:p>
            <w:r>
              <w:t>Gap</w:t>
            </w:r>
          </w:p>
        </w:tc>
        <w:tc>
          <w:tcPr>
            <w:tcW w:type="dxa" w:w="5112"/>
            <w:vAlign w:val="top"/>
          </w:tcPr>
          <w:p>
            <w:r>
              <w:t>No unified, product-specific decision path connecting the relevant regimes and evidence</w:t>
            </w:r>
          </w:p>
        </w:tc>
      </w:tr>
      <w:tr>
        <w:tc>
          <w:tcPr>
            <w:tcW w:type="dxa" w:w="5112"/>
            <w:vAlign w:val="top"/>
          </w:tcPr>
          <w:p>
            <w:r>
              <w:t>Expected Outcome</w:t>
            </w:r>
          </w:p>
        </w:tc>
        <w:tc>
          <w:tcPr>
            <w:tcW w:type="dxa" w:w="5112"/>
            <w:vAlign w:val="top"/>
          </w:tcPr>
          <w:p>
            <w:r>
              <w:t>Source-backed, understandable, jurisdiction-aware guidance</w:t>
            </w:r>
          </w:p>
        </w:tc>
      </w:tr>
    </w:tbl>
    <w:p>
      <w:pPr>
        <w:pStyle w:val="Heading1"/>
      </w:pPr>
      <w:r>
        <w:t>4. Root Cause Analysis</w:t>
      </w:r>
    </w:p>
    <w:p>
      <w:pPr>
        <w:pStyle w:val="Heading2"/>
      </w:pPr>
      <w:r>
        <w:t>4.1 Symptom</w:t>
      </w:r>
    </w:p>
    <w:p>
      <w:r>
        <w:t>User asks: “मेरे Ayurvedic product को protect/commercialise कैसे करूँ?” but cannot form a reliable, complete answer.</w:t>
      </w:r>
    </w:p>
    <w:p>
      <w:pPr>
        <w:pStyle w:val="Heading2"/>
      </w:pPr>
      <w:r>
        <w:t>4.2 Why?</w:t>
      </w:r>
    </w:p>
    <w:p>
      <w:pPr>
        <w:pStyle w:val="ListBullet"/>
      </w:pPr>
      <w:r>
        <w:t>Multiple legal areas may apply simultaneously: IP + TK + ABS + product regulation + international requirements.</w:t>
      </w:r>
    </w:p>
    <w:p>
      <w:pPr>
        <w:pStyle w:val="ListBullet"/>
      </w:pPr>
      <w:r>
        <w:t>Authoritative information is distributed across different authorities, registries, statutes, rules and databases.</w:t>
      </w:r>
    </w:p>
    <w:p>
      <w:pPr>
        <w:pStyle w:val="ListBullet"/>
      </w:pPr>
      <w:r>
        <w:t>The legal identity of a product depends on facts such as ingredients, source, formulation, claims, intended use, manufacturing model, and destination market.</w:t>
      </w:r>
    </w:p>
    <w:p>
      <w:pPr>
        <w:pStyle w:val="ListBullet"/>
      </w:pPr>
      <w:r>
        <w:t>Product classification, prior-art/TK overlap, biological-resource use and jurisdiction often need to be determined before the correct pathway can be selected.</w:t>
      </w:r>
    </w:p>
    <w:p>
      <w:pPr>
        <w:pStyle w:val="Heading2"/>
      </w:pPr>
      <w:r>
        <w:t>4.3 Root Cause</w:t>
      </w:r>
    </w:p>
    <w:p>
      <w:r>
        <w:t>The ecosystem is fragmented while the user's real-world case is interconnected. Information exists, but applicability and relationships must be figured out manually.</w:t>
      </w:r>
    </w:p>
    <w:p>
      <w:pPr>
        <w:pStyle w:val="Heading1"/>
      </w:pPr>
      <w:r>
        <w:t>5. Existing Systems: What They Solve vs. Remaining Gap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System / Source</w:t>
            </w:r>
          </w:p>
        </w:tc>
        <w:tc>
          <w:tcPr>
            <w:tcW w:type="dxa" w:w="3408"/>
          </w:tcPr>
          <w:p>
            <w:r>
              <w:rPr>
                <w:b/>
              </w:rPr>
              <w:t>What it solves</w:t>
            </w:r>
          </w:p>
        </w:tc>
        <w:tc>
          <w:tcPr>
            <w:tcW w:type="dxa" w:w="3408"/>
          </w:tcPr>
          <w:p>
            <w:r>
              <w:rPr>
                <w:b/>
              </w:rPr>
              <w:t>Remaining user gap</w:t>
            </w:r>
          </w:p>
        </w:tc>
      </w:tr>
      <w:tr>
        <w:tc>
          <w:tcPr>
            <w:tcW w:type="dxa" w:w="3408"/>
            <w:vAlign w:val="top"/>
          </w:tcPr>
          <w:p>
            <w:r>
              <w:t>TKDL</w:t>
            </w:r>
          </w:p>
        </w:tc>
        <w:tc>
          <w:tcPr>
            <w:tcW w:type="dxa" w:w="3408"/>
            <w:vAlign w:val="top"/>
          </w:tcPr>
          <w:p>
            <w:r>
              <w:t>Structured access to codified Indian traditional medicinal knowledge for prior-art/defensive protection context.</w:t>
            </w:r>
          </w:p>
        </w:tc>
        <w:tc>
          <w:tcPr>
            <w:tcW w:type="dxa" w:w="3408"/>
            <w:vAlign w:val="top"/>
          </w:tcPr>
          <w:p>
            <w:r>
              <w:t>Does not provide the complete product-specific IP + ABS + regulatory journey.</w:t>
            </w:r>
          </w:p>
        </w:tc>
      </w:tr>
      <w:tr>
        <w:tc>
          <w:tcPr>
            <w:tcW w:type="dxa" w:w="3408"/>
            <w:vAlign w:val="top"/>
          </w:tcPr>
          <w:p>
            <w:r>
              <w:t>IP India</w:t>
            </w:r>
          </w:p>
        </w:tc>
        <w:tc>
          <w:tcPr>
            <w:tcW w:type="dxa" w:w="3408"/>
            <w:vAlign w:val="top"/>
          </w:tcPr>
          <w:p>
            <w:r>
              <w:t>Official Indian IP ecosystem: patents, trademarks, designs, GIs and related examination resources.</w:t>
            </w:r>
          </w:p>
        </w:tc>
        <w:tc>
          <w:tcPr>
            <w:tcW w:type="dxa" w:w="3408"/>
            <w:vAlign w:val="top"/>
          </w:tcPr>
          <w:p>
            <w:r>
              <w:t>User still needs to determine which IP route applies to the particular Ayurveda case.</w:t>
            </w:r>
          </w:p>
        </w:tc>
      </w:tr>
      <w:tr>
        <w:tc>
          <w:tcPr>
            <w:tcW w:type="dxa" w:w="3408"/>
            <w:vAlign w:val="top"/>
          </w:tcPr>
          <w:p>
            <w:r>
              <w:t>WIPO</w:t>
            </w:r>
          </w:p>
        </w:tc>
        <w:tc>
          <w:tcPr>
            <w:tcW w:type="dxa" w:w="3408"/>
            <w:vAlign w:val="top"/>
          </w:tcPr>
          <w:p>
            <w:r>
              <w:t>International IP, treaties, TK/GR resources and cross-border reference material.</w:t>
            </w:r>
          </w:p>
        </w:tc>
        <w:tc>
          <w:tcPr>
            <w:tcW w:type="dxa" w:w="3408"/>
            <w:vAlign w:val="top"/>
          </w:tcPr>
          <w:p>
            <w:r>
              <w:t>International rules still need to be mapped to the user's product and destination jurisdiction.</w:t>
            </w:r>
          </w:p>
        </w:tc>
      </w:tr>
      <w:tr>
        <w:tc>
          <w:tcPr>
            <w:tcW w:type="dxa" w:w="3408"/>
            <w:vAlign w:val="top"/>
          </w:tcPr>
          <w:p>
            <w:r>
              <w:t>AYUSH / CDSCO</w:t>
            </w:r>
          </w:p>
        </w:tc>
        <w:tc>
          <w:tcPr>
            <w:tcW w:type="dxa" w:w="3408"/>
            <w:vAlign w:val="top"/>
          </w:tcPr>
          <w:p>
            <w:r>
              <w:t>Ayurvedic/Siddha/Unani drug regulatory framework, manufacturing, labelling and related requirements.</w:t>
            </w:r>
          </w:p>
        </w:tc>
        <w:tc>
          <w:tcPr>
            <w:tcW w:type="dxa" w:w="3408"/>
            <w:vAlign w:val="top"/>
          </w:tcPr>
          <w:p>
            <w:r>
              <w:t>User needs classification and product-context routing before knowing which requirements apply.</w:t>
            </w:r>
          </w:p>
        </w:tc>
      </w:tr>
      <w:tr>
        <w:tc>
          <w:tcPr>
            <w:tcW w:type="dxa" w:w="3408"/>
            <w:vAlign w:val="top"/>
          </w:tcPr>
          <w:p>
            <w:r>
              <w:t>FSSAI</w:t>
            </w:r>
          </w:p>
        </w:tc>
        <w:tc>
          <w:tcPr>
            <w:tcW w:type="dxa" w:w="3408"/>
            <w:vAlign w:val="top"/>
          </w:tcPr>
          <w:p>
            <w:r>
              <w:t>Food and Ayurveda Aahara regulatory framework where applicable.</w:t>
            </w:r>
          </w:p>
        </w:tc>
        <w:tc>
          <w:tcPr>
            <w:tcW w:type="dxa" w:w="3408"/>
            <w:vAlign w:val="top"/>
          </w:tcPr>
          <w:p>
            <w:r>
              <w:t>Product must first be distinguished from medicinal/drug categories and routed correctly.</w:t>
            </w:r>
          </w:p>
        </w:tc>
      </w:tr>
      <w:tr>
        <w:tc>
          <w:tcPr>
            <w:tcW w:type="dxa" w:w="3408"/>
            <w:vAlign w:val="top"/>
          </w:tcPr>
          <w:p>
            <w:r>
              <w:t>NBA / Biodiversity ecosystem</w:t>
            </w:r>
          </w:p>
        </w:tc>
        <w:tc>
          <w:tcPr>
            <w:tcW w:type="dxa" w:w="3408"/>
            <w:vAlign w:val="top"/>
          </w:tcPr>
          <w:p>
            <w:r>
              <w:t>Biodiversity governance, biological resources and ABS-related mechanisms.</w:t>
            </w:r>
          </w:p>
        </w:tc>
        <w:tc>
          <w:tcPr>
            <w:tcW w:type="dxa" w:w="3408"/>
            <w:vAlign w:val="top"/>
          </w:tcPr>
          <w:p>
            <w:r>
              <w:t>User needs help identifying whether and how biological-resource facts trigger relevant obligations.</w:t>
            </w:r>
          </w:p>
        </w:tc>
      </w:tr>
      <w:tr>
        <w:tc>
          <w:tcPr>
            <w:tcW w:type="dxa" w:w="3408"/>
            <w:vAlign w:val="top"/>
          </w:tcPr>
          <w:p>
            <w:r>
              <w:t>Human experts</w:t>
            </w:r>
          </w:p>
        </w:tc>
        <w:tc>
          <w:tcPr>
            <w:tcW w:type="dxa" w:w="3408"/>
            <w:vAlign w:val="top"/>
          </w:tcPr>
          <w:p>
            <w:r>
              <w:t>Case-specific professional/legal interpretation.</w:t>
            </w:r>
          </w:p>
        </w:tc>
        <w:tc>
          <w:tcPr>
            <w:tcW w:type="dxa" w:w="3408"/>
            <w:vAlign w:val="top"/>
          </w:tcPr>
          <w:p>
            <w:r>
              <w:t>Limited scalability, high discovery/research effort and inconsistent first-level triage.</w:t>
            </w:r>
          </w:p>
        </w:tc>
      </w:tr>
    </w:tbl>
    <w:p>
      <w:pPr>
        <w:pStyle w:val="Heading1"/>
      </w:pPr>
      <w:r>
        <w:t>6. Product Vision</w:t>
      </w:r>
    </w:p>
    <w:p>
      <w:r>
        <w:t>Build a deployable multilingual assistant that converts a user's Ayurvedic product description into a transparent, evidence-backed decision path: Product facts → Classification → Applicable regimes → Authoritative evidence → Recommended next steps → Forms/registries → Confidence → Human escalation.</w:t>
      </w:r>
    </w:p>
    <w:p>
      <w:pPr>
        <w:pStyle w:val="Heading1"/>
      </w:pPr>
      <w:r>
        <w:t>7. Product Principles</w:t>
      </w:r>
    </w:p>
    <w:p>
      <w:pPr>
        <w:pStyle w:val="ListBullet"/>
      </w:pPr>
      <w:r>
        <w:t>Case-aware, not generic: understand the product before answering.</w:t>
      </w:r>
    </w:p>
    <w:p>
      <w:pPr>
        <w:pStyle w:val="ListBullet"/>
      </w:pPr>
      <w:r>
        <w:t>Source-first: important claims must be traceable to authoritative evidence.</w:t>
      </w:r>
    </w:p>
    <w:p>
      <w:pPr>
        <w:pStyle w:val="ListBullet"/>
      </w:pPr>
      <w:r>
        <w:t>Jurisdiction-separated: India and international guidance must never be silently mixed.</w:t>
      </w:r>
    </w:p>
    <w:p>
      <w:pPr>
        <w:pStyle w:val="ListBullet"/>
      </w:pPr>
      <w:r>
        <w:t>Explainability: show why a regime is considered relevant.</w:t>
      </w:r>
    </w:p>
    <w:p>
      <w:pPr>
        <w:pStyle w:val="ListBullet"/>
      </w:pPr>
      <w:r>
        <w:t>Safe abstention: if evidence is weak, conflicting, outdated or incomplete, say so.</w:t>
      </w:r>
    </w:p>
    <w:p>
      <w:pPr>
        <w:pStyle w:val="ListBullet"/>
      </w:pPr>
      <w:r>
        <w:t>Version awareness: display source date/version and corpus freshness.</w:t>
      </w:r>
    </w:p>
    <w:p>
      <w:pPr>
        <w:pStyle w:val="ListBullet"/>
      </w:pPr>
      <w:r>
        <w:t>Information, not legal advice: clearly disclose limitations.</w:t>
      </w:r>
    </w:p>
    <w:p>
      <w:pPr>
        <w:pStyle w:val="ListBullet"/>
      </w:pPr>
      <w:r>
        <w:t>Privacy by design: minimise collection and protect sensitive product/research information.</w:t>
      </w:r>
    </w:p>
    <w:p>
      <w:pPr>
        <w:pStyle w:val="ListBullet"/>
      </w:pPr>
      <w:r>
        <w:t>Human-in-the-loop for high-risk or ambiguous cases.</w:t>
      </w:r>
    </w:p>
    <w:p>
      <w:pPr>
        <w:pStyle w:val="ListBullet"/>
      </w:pPr>
      <w:r>
        <w:t>Multilingual usability without changing the underlying legal meaning.</w:t>
      </w:r>
    </w:p>
    <w:p>
      <w:pPr>
        <w:pStyle w:val="Heading1"/>
      </w:pPr>
      <w:r>
        <w:t>8. Target Users &amp; Jobs-to-be-Done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Persona</w:t>
            </w:r>
          </w:p>
        </w:tc>
        <w:tc>
          <w:tcPr>
            <w:tcW w:type="dxa" w:w="3408"/>
          </w:tcPr>
          <w:p>
            <w:r>
              <w:rPr>
                <w:b/>
              </w:rPr>
              <w:t>Primary job</w:t>
            </w:r>
          </w:p>
        </w:tc>
        <w:tc>
          <w:tcPr>
            <w:tcW w:type="dxa" w:w="3408"/>
          </w:tcPr>
          <w:p>
            <w:r>
              <w:rPr>
                <w:b/>
              </w:rPr>
              <w:t>Typical question</w:t>
            </w:r>
          </w:p>
        </w:tc>
      </w:tr>
      <w:tr>
        <w:tc>
          <w:tcPr>
            <w:tcW w:type="dxa" w:w="3408"/>
            <w:vAlign w:val="top"/>
          </w:tcPr>
          <w:p>
            <w:r>
              <w:t>AYUSH startup founder</w:t>
            </w:r>
          </w:p>
        </w:tc>
        <w:tc>
          <w:tcPr>
            <w:tcW w:type="dxa" w:w="3408"/>
            <w:vAlign w:val="top"/>
          </w:tcPr>
          <w:p>
            <w:r>
              <w:t>Identify protection and compliance pathway before launch.</w:t>
            </w:r>
          </w:p>
        </w:tc>
        <w:tc>
          <w:tcPr>
            <w:tcW w:type="dxa" w:w="3408"/>
            <w:vAlign w:val="top"/>
          </w:tcPr>
          <w:p>
            <w:r>
              <w:t>“Which IP and regulatory route applies to my formulation?”</w:t>
            </w:r>
          </w:p>
        </w:tc>
      </w:tr>
      <w:tr>
        <w:tc>
          <w:tcPr>
            <w:tcW w:type="dxa" w:w="3408"/>
            <w:vAlign w:val="top"/>
          </w:tcPr>
          <w:p>
            <w:r>
              <w:t>Researcher</w:t>
            </w:r>
          </w:p>
        </w:tc>
        <w:tc>
          <w:tcPr>
            <w:tcW w:type="dxa" w:w="3408"/>
            <w:vAlign w:val="top"/>
          </w:tcPr>
          <w:p>
            <w:r>
              <w:t>Assess prior art, TK overlap, biological resources and patent considerations.</w:t>
            </w:r>
          </w:p>
        </w:tc>
        <w:tc>
          <w:tcPr>
            <w:tcW w:type="dxa" w:w="3408"/>
            <w:vAlign w:val="top"/>
          </w:tcPr>
          <w:p>
            <w:r>
              <w:t>“Can this innovation be patented and what should I check first?”</w:t>
            </w:r>
          </w:p>
        </w:tc>
      </w:tr>
      <w:tr>
        <w:tc>
          <w:tcPr>
            <w:tcW w:type="dxa" w:w="3408"/>
            <w:vAlign w:val="top"/>
          </w:tcPr>
          <w:p>
            <w:r>
              <w:t>MSME / manufacturer</w:t>
            </w:r>
          </w:p>
        </w:tc>
        <w:tc>
          <w:tcPr>
            <w:tcW w:type="dxa" w:w="3408"/>
            <w:vAlign w:val="top"/>
          </w:tcPr>
          <w:p>
            <w:r>
              <w:t>Understand product category, licensing and labelling path.</w:t>
            </w:r>
          </w:p>
        </w:tc>
        <w:tc>
          <w:tcPr>
            <w:tcW w:type="dxa" w:w="3408"/>
            <w:vAlign w:val="top"/>
          </w:tcPr>
          <w:p>
            <w:r>
              <w:t>“Is this an Ayurvedic drug or Ayurveda Aahara?”</w:t>
            </w:r>
          </w:p>
        </w:tc>
      </w:tr>
      <w:tr>
        <w:tc>
          <w:tcPr>
            <w:tcW w:type="dxa" w:w="3408"/>
            <w:vAlign w:val="top"/>
          </w:tcPr>
          <w:p>
            <w:r>
              <w:t>Practitioner</w:t>
            </w:r>
          </w:p>
        </w:tc>
        <w:tc>
          <w:tcPr>
            <w:tcW w:type="dxa" w:w="3408"/>
            <w:vAlign w:val="top"/>
          </w:tcPr>
          <w:p>
            <w:r>
              <w:t>Understand non-technical compliance implications.</w:t>
            </w:r>
          </w:p>
        </w:tc>
        <w:tc>
          <w:tcPr>
            <w:tcW w:type="dxa" w:w="3408"/>
            <w:vAlign w:val="top"/>
          </w:tcPr>
          <w:p>
            <w:r>
              <w:t>“What do I need to check before commercialising this formulation?”</w:t>
            </w:r>
          </w:p>
        </w:tc>
      </w:tr>
      <w:tr>
        <w:tc>
          <w:tcPr>
            <w:tcW w:type="dxa" w:w="3408"/>
            <w:vAlign w:val="top"/>
          </w:tcPr>
          <w:p>
            <w:r>
              <w:t>Cultivator / resource user</w:t>
            </w:r>
          </w:p>
        </w:tc>
        <w:tc>
          <w:tcPr>
            <w:tcW w:type="dxa" w:w="3408"/>
            <w:vAlign w:val="top"/>
          </w:tcPr>
          <w:p>
            <w:r>
              <w:t>Understand biological-resource and ABS considerations.</w:t>
            </w:r>
          </w:p>
        </w:tc>
        <w:tc>
          <w:tcPr>
            <w:tcW w:type="dxa" w:w="3408"/>
            <w:vAlign w:val="top"/>
          </w:tcPr>
          <w:p>
            <w:r>
              <w:t>“Does sourcing this plant create an ABS step?”</w:t>
            </w:r>
          </w:p>
        </w:tc>
      </w:tr>
      <w:tr>
        <w:tc>
          <w:tcPr>
            <w:tcW w:type="dxa" w:w="3408"/>
            <w:vAlign w:val="top"/>
          </w:tcPr>
          <w:p>
            <w:r>
              <w:t>IP facilitator</w:t>
            </w:r>
          </w:p>
        </w:tc>
        <w:tc>
          <w:tcPr>
            <w:tcW w:type="dxa" w:w="3408"/>
            <w:vAlign w:val="top"/>
          </w:tcPr>
          <w:p>
            <w:r>
              <w:t>Triage cases and review AI-generated evidence.</w:t>
            </w:r>
          </w:p>
        </w:tc>
        <w:tc>
          <w:tcPr>
            <w:tcW w:type="dxa" w:w="3408"/>
            <w:vAlign w:val="top"/>
          </w:tcPr>
          <w:p>
            <w:r>
              <w:t>“Which cases need expert intervention?”</w:t>
            </w:r>
          </w:p>
        </w:tc>
      </w:tr>
    </w:tbl>
    <w:p>
      <w:pPr>
        <w:pStyle w:val="Heading1"/>
      </w:pPr>
      <w:r>
        <w:t>9. Core User Journey</w:t>
      </w:r>
    </w:p>
    <w:p>
      <w:pPr>
        <w:pStyle w:val="ListNumber"/>
      </w:pPr>
      <w:r>
        <w:t>Start case</w:t>
      </w:r>
    </w:p>
    <w:p>
      <w:pPr>
        <w:pStyle w:val="ListNumber"/>
      </w:pPr>
      <w:r>
        <w:t>Enter product / innovation details</w:t>
      </w:r>
    </w:p>
    <w:p>
      <w:pPr>
        <w:pStyle w:val="ListNumber"/>
      </w:pPr>
      <w:r>
        <w:t>System asks only the minimum clarifying questions needed</w:t>
      </w:r>
    </w:p>
    <w:p>
      <w:pPr>
        <w:pStyle w:val="ListNumber"/>
      </w:pPr>
      <w:r>
        <w:t>Classify product and intended use</w:t>
      </w:r>
    </w:p>
    <w:p>
      <w:pPr>
        <w:pStyle w:val="ListNumber"/>
      </w:pPr>
      <w:r>
        <w:t>Identify IP/TK/ABS/regulatory dimensions</w:t>
      </w:r>
    </w:p>
    <w:p>
      <w:pPr>
        <w:pStyle w:val="ListNumber"/>
      </w:pPr>
      <w:r>
        <w:t>Select jurisdiction: India / International / specific target country</w:t>
      </w:r>
    </w:p>
    <w:p>
      <w:pPr>
        <w:pStyle w:val="ListNumber"/>
      </w:pPr>
      <w:r>
        <w:t>Retrieve authoritative sources using hybrid RAG</w:t>
      </w:r>
    </w:p>
    <w:p>
      <w:pPr>
        <w:pStyle w:val="ListNumber"/>
      </w:pPr>
      <w:r>
        <w:t>Verify claims against source passages and rule metadata</w:t>
      </w:r>
    </w:p>
    <w:p>
      <w:pPr>
        <w:pStyle w:val="ListNumber"/>
      </w:pPr>
      <w:r>
        <w:t>Generate structured pathway with citations and confidence</w:t>
      </w:r>
    </w:p>
    <w:p>
      <w:pPr>
        <w:pStyle w:val="ListNumber"/>
      </w:pPr>
      <w:r>
        <w:t>Show forms, registries, authorities and next actions</w:t>
      </w:r>
    </w:p>
    <w:p>
      <w:pPr>
        <w:pStyle w:val="ListNumber"/>
      </w:pPr>
      <w:r>
        <w:t>Escalate ambiguous/high-risk cases to human facilitator</w:t>
      </w:r>
    </w:p>
    <w:p>
      <w:pPr>
        <w:pStyle w:val="ListNumber"/>
      </w:pPr>
      <w:r>
        <w:t>Save/export a case summary with source versions</w:t>
      </w:r>
    </w:p>
    <w:p>
      <w:pPr>
        <w:pStyle w:val="Heading1"/>
      </w:pPr>
      <w:r>
        <w:t>10. Functional Requirements</w:t>
      </w:r>
    </w:p>
    <w:p>
      <w:pPr>
        <w:pStyle w:val="Heading2"/>
      </w:pPr>
      <w:r>
        <w:t>10.1 Case Intake &amp; Product Profiler</w:t>
      </w:r>
    </w:p>
    <w:p>
      <w:pPr>
        <w:pStyle w:val="ListBullet"/>
      </w:pPr>
      <w:r>
        <w:t>Product name / working name.</w:t>
      </w:r>
    </w:p>
    <w:p>
      <w:pPr>
        <w:pStyle w:val="ListBullet"/>
      </w:pPr>
      <w:r>
        <w:t>Product type: formulation, extract, raw material, food-like product, cosmetic, medicinal product, research output, process, device or other.</w:t>
      </w:r>
    </w:p>
    <w:p>
      <w:pPr>
        <w:pStyle w:val="ListBullet"/>
      </w:pPr>
      <w:r>
        <w:t>Ingredients / biological resources and botanical names where available.</w:t>
      </w:r>
    </w:p>
    <w:p>
      <w:pPr>
        <w:pStyle w:val="ListBullet"/>
      </w:pPr>
      <w:r>
        <w:t>Source of biological material and whether sourced in India or outside India.</w:t>
      </w:r>
    </w:p>
    <w:p>
      <w:pPr>
        <w:pStyle w:val="ListBullet"/>
      </w:pPr>
      <w:r>
        <w:t>Traditional knowledge involvement: known classical text, community knowledge, documented source, or unknown.</w:t>
      </w:r>
    </w:p>
    <w:p>
      <w:pPr>
        <w:pStyle w:val="ListBullet"/>
      </w:pPr>
      <w:r>
        <w:t>Product claims and intended use.</w:t>
      </w:r>
    </w:p>
    <w:p>
      <w:pPr>
        <w:pStyle w:val="ListBullet"/>
      </w:pPr>
      <w:r>
        <w:t>Manufacturing / commercialisation status.</w:t>
      </w:r>
    </w:p>
    <w:p>
      <w:pPr>
        <w:pStyle w:val="ListBullet"/>
      </w:pPr>
      <w:r>
        <w:t>Target market(s) and export countries.</w:t>
      </w:r>
    </w:p>
    <w:p>
      <w:pPr>
        <w:pStyle w:val="ListBullet"/>
      </w:pPr>
      <w:r>
        <w:t>Existing IP filings or registrations, if any.</w:t>
      </w:r>
    </w:p>
    <w:p>
      <w:pPr>
        <w:pStyle w:val="ListBullet"/>
      </w:pPr>
      <w:r>
        <w:t>User's objective: patent, trademark, GI, design, trade secret, compliance, ABS check, prior-art check, export readiness, etc.</w:t>
      </w:r>
    </w:p>
    <w:p>
      <w:pPr>
        <w:pStyle w:val="Heading2"/>
      </w:pPr>
      <w:r>
        <w:t>10.2 Product Classification Engine</w:t>
      </w:r>
    </w:p>
    <w:p>
      <w:pPr>
        <w:pStyle w:val="ListBullet"/>
      </w:pPr>
      <w:r>
        <w:t>Rule-based first-pass classifier for high-impact categories.</w:t>
      </w:r>
    </w:p>
    <w:p>
      <w:pPr>
        <w:pStyle w:val="ListBullet"/>
      </w:pPr>
      <w:r>
        <w:t>ML/LLM-assisted interpretation only after structured facts are collected.</w:t>
      </w:r>
    </w:p>
    <w:p>
      <w:pPr>
        <w:pStyle w:val="ListBullet"/>
      </w:pPr>
      <w:r>
        <w:t>Show classification rationale and uncertainty.</w:t>
      </w:r>
    </w:p>
    <w:p>
      <w:pPr>
        <w:pStyle w:val="ListBullet"/>
      </w:pPr>
      <w:r>
        <w:t>Never silently infer a legal category from a vague product name.</w:t>
      </w:r>
    </w:p>
    <w:p>
      <w:pPr>
        <w:pStyle w:val="ListBullet"/>
      </w:pPr>
      <w:r>
        <w:t>Allow user correction and re-run downstream routing.</w:t>
      </w:r>
    </w:p>
    <w:p>
      <w:pPr>
        <w:pStyle w:val="Heading2"/>
      </w:pPr>
      <w:r>
        <w:t>10.3 IP Route Router</w:t>
      </w:r>
    </w:p>
    <w:p>
      <w:pPr>
        <w:pStyle w:val="ListBullet"/>
      </w:pPr>
      <w:r>
        <w:t>Patent / invention pathway.</w:t>
      </w:r>
    </w:p>
    <w:p>
      <w:pPr>
        <w:pStyle w:val="ListBullet"/>
      </w:pPr>
      <w:r>
        <w:t>Trademark pathway.</w:t>
      </w:r>
    </w:p>
    <w:p>
      <w:pPr>
        <w:pStyle w:val="ListBullet"/>
      </w:pPr>
      <w:r>
        <w:t>GI pathway where relevant.</w:t>
      </w:r>
    </w:p>
    <w:p>
      <w:pPr>
        <w:pStyle w:val="ListBullet"/>
      </w:pPr>
      <w:r>
        <w:t>Industrial design pathway where relevant.</w:t>
      </w:r>
    </w:p>
    <w:p>
      <w:pPr>
        <w:pStyle w:val="ListBullet"/>
      </w:pPr>
      <w:r>
        <w:t>Copyright / documentation / content considerations where relevant.</w:t>
      </w:r>
    </w:p>
    <w:p>
      <w:pPr>
        <w:pStyle w:val="ListBullet"/>
      </w:pPr>
      <w:r>
        <w:t>Trade-secret/confidential-information considerations where relevant.</w:t>
      </w:r>
    </w:p>
    <w:p>
      <w:pPr>
        <w:pStyle w:val="ListBullet"/>
      </w:pPr>
      <w:r>
        <w:t>Defensive TK / prior-art checks.</w:t>
      </w:r>
    </w:p>
    <w:p>
      <w:pPr>
        <w:pStyle w:val="ListBullet"/>
      </w:pPr>
      <w:r>
        <w:t>Show 'not enough information' rather than forcing a protection type.</w:t>
      </w:r>
    </w:p>
    <w:p>
      <w:pPr>
        <w:pStyle w:val="Heading2"/>
      </w:pPr>
      <w:r>
        <w:t>10.4 TKDL / Prior-Art Helper</w:t>
      </w:r>
    </w:p>
    <w:p>
      <w:pPr>
        <w:pStyle w:val="ListBullet"/>
      </w:pPr>
      <w:r>
        <w:t>Use only authorised/publicly available TKDL information and clearly distinguish source literature from TKDL as an indexing/search aid.</w:t>
      </w:r>
    </w:p>
    <w:p>
      <w:pPr>
        <w:pStyle w:val="ListBullet"/>
      </w:pPr>
      <w:r>
        <w:t>Return matched concepts, formulations or classifications only where evidence supports the match.</w:t>
      </w:r>
    </w:p>
    <w:p>
      <w:pPr>
        <w:pStyle w:val="ListBullet"/>
      </w:pPr>
      <w:r>
        <w:t>Show the original source reference where available.</w:t>
      </w:r>
    </w:p>
    <w:p>
      <w:pPr>
        <w:pStyle w:val="ListBullet"/>
      </w:pPr>
      <w:r>
        <w:t>Warn that TKDL is not exhaustive and does not itself replace professional prior-art searching.</w:t>
      </w:r>
    </w:p>
    <w:p>
      <w:pPr>
        <w:pStyle w:val="Heading2"/>
      </w:pPr>
      <w:r>
        <w:t>10.5 ABS / Biological Resource Helper</w:t>
      </w:r>
    </w:p>
    <w:p>
      <w:pPr>
        <w:pStyle w:val="ListBullet"/>
      </w:pPr>
      <w:r>
        <w:t>Ask whether biological resources are involved and how/where they were obtained.</w:t>
      </w:r>
    </w:p>
    <w:p>
      <w:pPr>
        <w:pStyle w:val="ListBullet"/>
      </w:pPr>
      <w:r>
        <w:t>Route to the relevant Indian biodiversity framework and authority information.</w:t>
      </w:r>
    </w:p>
    <w:p>
      <w:pPr>
        <w:pStyle w:val="ListBullet"/>
      </w:pPr>
      <w:r>
        <w:t>Identify potential ABS-related steps and uncertainty.</w:t>
      </w:r>
    </w:p>
    <w:p>
      <w:pPr>
        <w:pStyle w:val="ListBullet"/>
      </w:pPr>
      <w:r>
        <w:t>Link to official forms, portals and authority pages.</w:t>
      </w:r>
    </w:p>
    <w:p>
      <w:pPr>
        <w:pStyle w:val="ListBullet"/>
      </w:pPr>
      <w:r>
        <w:t>Do not declare final legal applicability when facts are incomplete.</w:t>
      </w:r>
    </w:p>
    <w:p>
      <w:pPr>
        <w:pStyle w:val="Heading2"/>
      </w:pPr>
      <w:r>
        <w:t>10.6 Regulatory Navigator</w:t>
      </w:r>
    </w:p>
    <w:p>
      <w:pPr>
        <w:pStyle w:val="ListBullet"/>
      </w:pPr>
      <w:r>
        <w:t>Route between Ayurvedic/Siddha/Unani drug-related rules and food/Ayurveda Aahara pathways where relevant.</w:t>
      </w:r>
    </w:p>
    <w:p>
      <w:pPr>
        <w:pStyle w:val="ListBullet"/>
      </w:pPr>
      <w:r>
        <w:t>Surface manufacturing, labelling, claims, licensing and testing requirements supported by sources.</w:t>
      </w:r>
    </w:p>
    <w:p>
      <w:pPr>
        <w:pStyle w:val="ListBullet"/>
      </w:pPr>
      <w:r>
        <w:t>Separate regulatory information from IP guidance.</w:t>
      </w:r>
    </w:p>
    <w:p>
      <w:pPr>
        <w:pStyle w:val="ListBullet"/>
      </w:pPr>
      <w:r>
        <w:t>Show the authority responsible for each step.</w:t>
      </w:r>
    </w:p>
    <w:p>
      <w:pPr>
        <w:pStyle w:val="Heading2"/>
      </w:pPr>
      <w:r>
        <w:t>10.7 Jurisdiction Toggle</w:t>
      </w:r>
    </w:p>
    <w:p>
      <w:pPr>
        <w:pStyle w:val="ListBullet"/>
      </w:pPr>
      <w:r>
        <w:t>India view: Indian statutes, rules, guidelines, authorities, registries and forms.</w:t>
      </w:r>
    </w:p>
    <w:p>
      <w:pPr>
        <w:pStyle w:val="ListBullet"/>
      </w:pPr>
      <w:r>
        <w:t>International view: selected target jurisdiction plus WIPO/international instruments.</w:t>
      </w:r>
    </w:p>
    <w:p>
      <w:pPr>
        <w:pStyle w:val="ListBullet"/>
      </w:pPr>
      <w:r>
        <w:t>Never merge India and international requirements into a single undifferentiated answer.</w:t>
      </w:r>
    </w:p>
    <w:p>
      <w:pPr>
        <w:pStyle w:val="ListBullet"/>
      </w:pPr>
      <w:r>
        <w:t>Display jurisdiction and source date prominently.</w:t>
      </w:r>
    </w:p>
    <w:p>
      <w:pPr>
        <w:pStyle w:val="ListBullet"/>
      </w:pPr>
      <w:r>
        <w:t>Allow multiple target countries for comparison in a future release.</w:t>
      </w:r>
    </w:p>
    <w:p>
      <w:pPr>
        <w:pStyle w:val="Heading1"/>
      </w:pPr>
      <w:r>
        <w:t>10.8 Source-Cited Answers</w:t>
      </w:r>
    </w:p>
    <w:p>
      <w:pPr>
        <w:pStyle w:val="ListBullet"/>
      </w:pPr>
      <w:r>
        <w:t>Every material legal/regulatory recommendation must carry one or more source citations.</w:t>
      </w:r>
    </w:p>
    <w:p>
      <w:pPr>
        <w:pStyle w:val="ListBullet"/>
      </w:pPr>
      <w:r>
        <w:t>Citation card should contain: source title, issuing authority, publication/update date, relevant section/page where available, URL, corpus version and retrieval timestamp.</w:t>
      </w:r>
    </w:p>
    <w:p>
      <w:pPr>
        <w:pStyle w:val="ListBullet"/>
      </w:pPr>
      <w:r>
        <w:t>A claim cannot be presented as verified if the system cannot identify supporting evidence.</w:t>
      </w:r>
    </w:p>
    <w:p>
      <w:pPr>
        <w:pStyle w:val="ListBullet"/>
      </w:pPr>
      <w:r>
        <w:t>Citation correctness is an explicit evaluation metric.</w:t>
      </w:r>
    </w:p>
    <w:p>
      <w:pPr>
        <w:pStyle w:val="Heading1"/>
      </w:pPr>
      <w:r>
        <w:t>10.9 Confidence &amp; Safe Abstention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Level</w:t>
            </w:r>
          </w:p>
        </w:tc>
        <w:tc>
          <w:tcPr>
            <w:tcW w:type="dxa" w:w="3408"/>
          </w:tcPr>
          <w:p>
            <w:r>
              <w:rPr>
                <w:b/>
              </w:rPr>
              <w:t>Meaning</w:t>
            </w:r>
          </w:p>
        </w:tc>
        <w:tc>
          <w:tcPr>
            <w:tcW w:type="dxa" w:w="3408"/>
          </w:tcPr>
          <w:p>
            <w:r>
              <w:rPr>
                <w:b/>
              </w:rPr>
              <w:t>UI behaviour</w:t>
            </w:r>
          </w:p>
        </w:tc>
      </w:tr>
      <w:tr>
        <w:tc>
          <w:tcPr>
            <w:tcW w:type="dxa" w:w="3408"/>
            <w:vAlign w:val="top"/>
          </w:tcPr>
          <w:p>
            <w:r>
              <w:t>High</w:t>
            </w:r>
          </w:p>
        </w:tc>
        <w:tc>
          <w:tcPr>
            <w:tcW w:type="dxa" w:w="3408"/>
            <w:vAlign w:val="top"/>
          </w:tcPr>
          <w:p>
            <w:r>
              <w:t>Strong source support + clear facts + no material conflict.</w:t>
            </w:r>
          </w:p>
        </w:tc>
        <w:tc>
          <w:tcPr>
            <w:tcW w:type="dxa" w:w="3408"/>
            <w:vAlign w:val="top"/>
          </w:tcPr>
          <w:p>
            <w:r>
              <w:t>Answer + citations + next steps.</w:t>
            </w:r>
          </w:p>
        </w:tc>
      </w:tr>
      <w:tr>
        <w:tc>
          <w:tcPr>
            <w:tcW w:type="dxa" w:w="3408"/>
            <w:vAlign w:val="top"/>
          </w:tcPr>
          <w:p>
            <w:r>
              <w:t>Medium</w:t>
            </w:r>
          </w:p>
        </w:tc>
        <w:tc>
          <w:tcPr>
            <w:tcW w:type="dxa" w:w="3408"/>
            <w:vAlign w:val="top"/>
          </w:tcPr>
          <w:p>
            <w:r>
              <w:t>Useful evidence exists but facts or interpretation are incomplete.</w:t>
            </w:r>
          </w:p>
        </w:tc>
        <w:tc>
          <w:tcPr>
            <w:tcW w:type="dxa" w:w="3408"/>
            <w:vAlign w:val="top"/>
          </w:tcPr>
          <w:p>
            <w:r>
              <w:t>Answer with assumptions, caveats and clarifying questions.</w:t>
            </w:r>
          </w:p>
        </w:tc>
      </w:tr>
      <w:tr>
        <w:tc>
          <w:tcPr>
            <w:tcW w:type="dxa" w:w="3408"/>
            <w:vAlign w:val="top"/>
          </w:tcPr>
          <w:p>
            <w:r>
              <w:t>Low</w:t>
            </w:r>
          </w:p>
        </w:tc>
        <w:tc>
          <w:tcPr>
            <w:tcW w:type="dxa" w:w="3408"/>
            <w:vAlign w:val="top"/>
          </w:tcPr>
          <w:p>
            <w:r>
              <w:t>Evidence is weak, conflicting, stale or classification is uncertain.</w:t>
            </w:r>
          </w:p>
        </w:tc>
        <w:tc>
          <w:tcPr>
            <w:tcW w:type="dxa" w:w="3408"/>
            <w:vAlign w:val="top"/>
          </w:tcPr>
          <w:p>
            <w:r>
              <w:t>Abstain from definitive conclusion; show what must be verified.</w:t>
            </w:r>
          </w:p>
        </w:tc>
      </w:tr>
      <w:tr>
        <w:tc>
          <w:tcPr>
            <w:tcW w:type="dxa" w:w="3408"/>
            <w:vAlign w:val="top"/>
          </w:tcPr>
          <w:p>
            <w:r>
              <w:t>Escalate</w:t>
            </w:r>
          </w:p>
        </w:tc>
        <w:tc>
          <w:tcPr>
            <w:tcW w:type="dxa" w:w="3408"/>
            <w:vAlign w:val="top"/>
          </w:tcPr>
          <w:p>
            <w:r>
              <w:t>High-impact ambiguity, conflict or legal interpretation beyond system scope.</w:t>
            </w:r>
          </w:p>
        </w:tc>
        <w:tc>
          <w:tcPr>
            <w:tcW w:type="dxa" w:w="3408"/>
            <w:vAlign w:val="top"/>
          </w:tcPr>
          <w:p>
            <w:r>
              <w:t>Recommend human IP/regulatory facilitator review.</w:t>
            </w:r>
          </w:p>
        </w:tc>
      </w:tr>
    </w:tbl>
    <w:p>
      <w:pPr>
        <w:pStyle w:val="Heading1"/>
      </w:pPr>
      <w:r>
        <w:t>10.10 Human Escalation</w:t>
      </w:r>
    </w:p>
    <w:p>
      <w:pPr>
        <w:pStyle w:val="ListBullet"/>
      </w:pPr>
      <w:r>
        <w:t>Generate a structured case brief for a facilitator: facts, classification, questions, retrieved sources, uncertainties and citations.</w:t>
      </w:r>
    </w:p>
    <w:p>
      <w:pPr>
        <w:pStyle w:val="ListBullet"/>
      </w:pPr>
      <w:r>
        <w:t>Allow user to request human review.</w:t>
      </w:r>
    </w:p>
    <w:p>
      <w:pPr>
        <w:pStyle w:val="ListBullet"/>
      </w:pPr>
      <w:r>
        <w:t>Do not expose hidden model reasoning; expose concise evidence and decision rationale instead.</w:t>
      </w:r>
    </w:p>
    <w:p>
      <w:pPr>
        <w:pStyle w:val="ListBullet"/>
      </w:pPr>
      <w:r>
        <w:t>Facilitator can mark outcome as verified / corrected / unresolved for future evaluation.</w:t>
      </w:r>
    </w:p>
    <w:p>
      <w:pPr>
        <w:pStyle w:val="Heading1"/>
      </w:pPr>
      <w:r>
        <w:t>11. AI / RAG Architecture</w:t>
      </w:r>
    </w:p>
    <w:p>
      <w:r>
        <w:t>Proposed architecture:</w:t>
      </w:r>
    </w:p>
    <w:p>
      <w:pPr>
        <w:pStyle w:val="ListBullet"/>
      </w:pPr>
      <w:r>
        <w:t>User Interface (web/mobile): multilingual chat + guided case form.</w:t>
      </w:r>
    </w:p>
    <w:p>
      <w:pPr>
        <w:pStyle w:val="ListBullet"/>
      </w:pPr>
      <w:r>
        <w:t>Language Layer: language identification, translation/speech where enabled, terminology normalisation.</w:t>
      </w:r>
    </w:p>
    <w:p>
      <w:pPr>
        <w:pStyle w:val="ListBullet"/>
      </w:pPr>
      <w:r>
        <w:t>Case Structuring Layer: converts free text into a validated Product Case JSON object.</w:t>
      </w:r>
    </w:p>
    <w:p>
      <w:pPr>
        <w:pStyle w:val="ListBullet"/>
      </w:pPr>
      <w:r>
        <w:t>Rules &amp; Classification Engine: deterministic rules for high-impact routing and regulatory gates.</w:t>
      </w:r>
    </w:p>
    <w:p>
      <w:pPr>
        <w:pStyle w:val="ListBullet"/>
      </w:pPr>
      <w:r>
        <w:t>Hybrid Retrieval Layer: keyword/BM25 + dense vector retrieval + metadata filters + reranking.</w:t>
      </w:r>
    </w:p>
    <w:p>
      <w:pPr>
        <w:pStyle w:val="ListBullet"/>
      </w:pPr>
      <w:r>
        <w:t>Curated Legal Corpus: statutes, rules, regulations, official guidelines, treaties, registry pages, forms, authoritative standards and selected case-law material.</w:t>
      </w:r>
    </w:p>
    <w:p>
      <w:pPr>
        <w:pStyle w:val="ListBullet"/>
      </w:pPr>
      <w:r>
        <w:t>Knowledge Graph: entities and relationships among product attributes, legal regimes, authorities, documents, jurisdictions, forms and deadlines.</w:t>
      </w:r>
    </w:p>
    <w:p>
      <w:pPr>
        <w:pStyle w:val="ListBullet"/>
      </w:pPr>
      <w:r>
        <w:t>Evidence Verification Layer: claim-to-source mapping, source authority checks, version/date checks and conflict detection.</w:t>
      </w:r>
    </w:p>
    <w:p>
      <w:pPr>
        <w:pStyle w:val="ListBullet"/>
      </w:pPr>
      <w:r>
        <w:t>Generation Layer: constrained answer generation from retrieved evidence.</w:t>
      </w:r>
    </w:p>
    <w:p>
      <w:pPr>
        <w:pStyle w:val="ListBullet"/>
      </w:pPr>
      <w:r>
        <w:t>Guardrail Layer: citation completeness, abstention, disclaimer, PII controls and high-risk escalation.</w:t>
      </w:r>
    </w:p>
    <w:p>
      <w:pPr>
        <w:pStyle w:val="ListBullet"/>
      </w:pPr>
      <w:r>
        <w:t>Audit Layer: query, source versions, answer, citations, confidence and user corrections for evaluation.</w:t>
      </w:r>
    </w:p>
    <w:p>
      <w:pPr>
        <w:pStyle w:val="Heading1"/>
      </w:pPr>
      <w:r>
        <w:t>12. Hybrid RAG Design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Purpose</w:t>
            </w:r>
          </w:p>
        </w:tc>
      </w:tr>
      <w:tr>
        <w:tc>
          <w:tcPr>
            <w:tcW w:type="dxa" w:w="5112"/>
            <w:vAlign w:val="top"/>
          </w:tcPr>
          <w:p>
            <w:r>
              <w:t>Metadata filter</w:t>
            </w:r>
          </w:p>
        </w:tc>
        <w:tc>
          <w:tcPr>
            <w:tcW w:type="dxa" w:w="5112"/>
            <w:vAlign w:val="top"/>
          </w:tcPr>
          <w:p>
            <w:r>
              <w:t>Jurisdiction, authority, document type, effective date, product domain.</w:t>
            </w:r>
          </w:p>
        </w:tc>
      </w:tr>
      <w:tr>
        <w:tc>
          <w:tcPr>
            <w:tcW w:type="dxa" w:w="5112"/>
            <w:vAlign w:val="top"/>
          </w:tcPr>
          <w:p>
            <w:r>
              <w:t>BM25 / lexical retrieval</w:t>
            </w:r>
          </w:p>
        </w:tc>
        <w:tc>
          <w:tcPr>
            <w:tcW w:type="dxa" w:w="5112"/>
            <w:vAlign w:val="top"/>
          </w:tcPr>
          <w:p>
            <w:r>
              <w:t>Exact legal terms, section numbers, forms and named regulations.</w:t>
            </w:r>
          </w:p>
        </w:tc>
      </w:tr>
      <w:tr>
        <w:tc>
          <w:tcPr>
            <w:tcW w:type="dxa" w:w="5112"/>
            <w:vAlign w:val="top"/>
          </w:tcPr>
          <w:p>
            <w:r>
              <w:t>Vector retrieval</w:t>
            </w:r>
          </w:p>
        </w:tc>
        <w:tc>
          <w:tcPr>
            <w:tcW w:type="dxa" w:w="5112"/>
            <w:vAlign w:val="top"/>
          </w:tcPr>
          <w:p>
            <w:r>
              <w:t>Semantic matching of user product descriptions to legal passages.</w:t>
            </w:r>
          </w:p>
        </w:tc>
      </w:tr>
      <w:tr>
        <w:tc>
          <w:tcPr>
            <w:tcW w:type="dxa" w:w="5112"/>
            <w:vAlign w:val="top"/>
          </w:tcPr>
          <w:p>
            <w:r>
              <w:t>Reranker</w:t>
            </w:r>
          </w:p>
        </w:tc>
        <w:tc>
          <w:tcPr>
            <w:tcW w:type="dxa" w:w="5112"/>
            <w:vAlign w:val="top"/>
          </w:tcPr>
          <w:p>
            <w:r>
              <w:t>Prioritise authoritative and contextually relevant passages.</w:t>
            </w:r>
          </w:p>
        </w:tc>
      </w:tr>
      <w:tr>
        <w:tc>
          <w:tcPr>
            <w:tcW w:type="dxa" w:w="5112"/>
            <w:vAlign w:val="top"/>
          </w:tcPr>
          <w:p>
            <w:r>
              <w:t>Rule engine</w:t>
            </w:r>
          </w:p>
        </w:tc>
        <w:tc>
          <w:tcPr>
            <w:tcW w:type="dxa" w:w="5112"/>
            <w:vAlign w:val="top"/>
          </w:tcPr>
          <w:p>
            <w:r>
              <w:t>Deterministic applicability gates and classification checks.</w:t>
            </w:r>
          </w:p>
        </w:tc>
      </w:tr>
      <w:tr>
        <w:tc>
          <w:tcPr>
            <w:tcW w:type="dxa" w:w="5112"/>
            <w:vAlign w:val="top"/>
          </w:tcPr>
          <w:p>
            <w:r>
              <w:t>Knowledge graph</w:t>
            </w:r>
          </w:p>
        </w:tc>
        <w:tc>
          <w:tcPr>
            <w:tcW w:type="dxa" w:w="5112"/>
            <w:vAlign w:val="top"/>
          </w:tcPr>
          <w:p>
            <w:r>
              <w:t>Connect product → ingredient → regime → authority → source → form.</w:t>
            </w:r>
          </w:p>
        </w:tc>
      </w:tr>
      <w:tr>
        <w:tc>
          <w:tcPr>
            <w:tcW w:type="dxa" w:w="5112"/>
            <w:vAlign w:val="top"/>
          </w:tcPr>
          <w:p>
            <w:r>
              <w:t>LLM</w:t>
            </w:r>
          </w:p>
        </w:tc>
        <w:tc>
          <w:tcPr>
            <w:tcW w:type="dxa" w:w="5112"/>
            <w:vAlign w:val="top"/>
          </w:tcPr>
          <w:p>
            <w:r>
              <w:t>Explain evidence in user language without inventing unsupported conclusions.</w:t>
            </w:r>
          </w:p>
        </w:tc>
      </w:tr>
      <w:tr>
        <w:tc>
          <w:tcPr>
            <w:tcW w:type="dxa" w:w="5112"/>
            <w:vAlign w:val="top"/>
          </w:tcPr>
          <w:p>
            <w:r>
              <w:t>Verifier</w:t>
            </w:r>
          </w:p>
        </w:tc>
        <w:tc>
          <w:tcPr>
            <w:tcW w:type="dxa" w:w="5112"/>
            <w:vAlign w:val="top"/>
          </w:tcPr>
          <w:p>
            <w:r>
              <w:t>Check whether answer claims are entailed/supported by retrieved evidence.</w:t>
            </w:r>
          </w:p>
        </w:tc>
      </w:tr>
    </w:tbl>
    <w:p>
      <w:pPr>
        <w:pStyle w:val="Heading1"/>
      </w:pPr>
      <w:r>
        <w:t>13. Knowledge Corpus &amp; Data Governance</w:t>
      </w:r>
    </w:p>
    <w:p>
      <w:pPr>
        <w:pStyle w:val="Heading2"/>
      </w:pPr>
      <w:r>
        <w:t>13.1 Priority corpus</w:t>
      </w:r>
    </w:p>
    <w:p>
      <w:pPr>
        <w:pStyle w:val="ListBullet"/>
      </w:pPr>
      <w:r>
        <w:t>Indian statutes, rules, regulations and official notifications relevant to IP, biodiversity/ABS and product regulation.</w:t>
      </w:r>
    </w:p>
    <w:p>
      <w:pPr>
        <w:pStyle w:val="ListBullet"/>
      </w:pPr>
      <w:r>
        <w:t>IP India official guidelines, registries and procedural resources.</w:t>
      </w:r>
    </w:p>
    <w:p>
      <w:pPr>
        <w:pStyle w:val="ListBullet"/>
      </w:pPr>
      <w:r>
        <w:t>Ministry of AYUSH / official AYUSH resources.</w:t>
      </w:r>
    </w:p>
    <w:p>
      <w:pPr>
        <w:pStyle w:val="ListBullet"/>
      </w:pPr>
      <w:r>
        <w:t>CDSCO / Drugs and Cosmetics framework for traditional drugs.</w:t>
      </w:r>
    </w:p>
    <w:p>
      <w:pPr>
        <w:pStyle w:val="ListBullet"/>
      </w:pPr>
      <w:r>
        <w:t>FSSAI regulations and advisories, including Ayurveda Aahara where applicable.</w:t>
      </w:r>
    </w:p>
    <w:p>
      <w:pPr>
        <w:pStyle w:val="ListBullet"/>
      </w:pPr>
      <w:r>
        <w:t>National Biodiversity Authority and State Biodiversity Board resources.</w:t>
      </w:r>
    </w:p>
    <w:p>
      <w:pPr>
        <w:pStyle w:val="ListBullet"/>
      </w:pPr>
      <w:r>
        <w:t>TKDL official information and authorised-access resources as applicable.</w:t>
      </w:r>
    </w:p>
    <w:p>
      <w:pPr>
        <w:pStyle w:val="ListBullet"/>
      </w:pPr>
      <w:r>
        <w:t>WIPO treaties, WIPO Lex and official TK/GR resources.</w:t>
      </w:r>
    </w:p>
    <w:p>
      <w:pPr>
        <w:pStyle w:val="ListBullet"/>
      </w:pPr>
      <w:r>
        <w:t>Official forms and portals for applications, registrations and compliance actions.</w:t>
      </w:r>
    </w:p>
    <w:p>
      <w:pPr>
        <w:pStyle w:val="ListBullet"/>
      </w:pPr>
      <w:r>
        <w:t>Selected authoritative judgments/case law where licensing permits and where legal relevance is clear.</w:t>
      </w:r>
    </w:p>
    <w:p>
      <w:pPr>
        <w:pStyle w:val="Heading2"/>
      </w:pPr>
      <w:r>
        <w:t>13.2 Corpus metadata</w:t>
      </w:r>
    </w:p>
    <w:p>
      <w:pPr>
        <w:pStyle w:val="ListBullet"/>
      </w:pPr>
      <w:r>
        <w:t>Document ID and issuing authority.</w:t>
      </w:r>
    </w:p>
    <w:p>
      <w:pPr>
        <w:pStyle w:val="ListBullet"/>
      </w:pPr>
      <w:r>
        <w:t>Document type.</w:t>
      </w:r>
    </w:p>
    <w:p>
      <w:pPr>
        <w:pStyle w:val="ListBullet"/>
      </w:pPr>
      <w:r>
        <w:t>Jurisdiction.</w:t>
      </w:r>
    </w:p>
    <w:p>
      <w:pPr>
        <w:pStyle w:val="ListBullet"/>
      </w:pPr>
      <w:r>
        <w:t>Publication date.</w:t>
      </w:r>
    </w:p>
    <w:p>
      <w:pPr>
        <w:pStyle w:val="ListBullet"/>
      </w:pPr>
      <w:r>
        <w:t>Effective date and superseded date where available.</w:t>
      </w:r>
    </w:p>
    <w:p>
      <w:pPr>
        <w:pStyle w:val="ListBullet"/>
      </w:pPr>
      <w:r>
        <w:t>Version / amendment history.</w:t>
      </w:r>
    </w:p>
    <w:p>
      <w:pPr>
        <w:pStyle w:val="ListBullet"/>
      </w:pPr>
      <w:r>
        <w:t>Section / rule / paragraph / page locator.</w:t>
      </w:r>
    </w:p>
    <w:p>
      <w:pPr>
        <w:pStyle w:val="ListBullet"/>
      </w:pPr>
      <w:r>
        <w:t>Official URL.</w:t>
      </w:r>
    </w:p>
    <w:p>
      <w:pPr>
        <w:pStyle w:val="ListBullet"/>
      </w:pPr>
      <w:r>
        <w:t>Hash / ingestion timestamp.</w:t>
      </w:r>
    </w:p>
    <w:p>
      <w:pPr>
        <w:pStyle w:val="ListBullet"/>
      </w:pPr>
      <w:r>
        <w:t>Access restrictions and licence metadata.</w:t>
      </w:r>
    </w:p>
    <w:p>
      <w:pPr>
        <w:pStyle w:val="ListBullet"/>
      </w:pPr>
      <w:r>
        <w:t>Domain tags: IP, TK, ABS, drug, food, export, etc.</w:t>
      </w:r>
    </w:p>
    <w:p>
      <w:pPr>
        <w:pStyle w:val="Heading1"/>
      </w:pPr>
      <w:r>
        <w:t>13.3 Version tracking</w:t>
      </w:r>
    </w:p>
    <w:p>
      <w:pPr>
        <w:pStyle w:val="ListBullet"/>
      </w:pPr>
      <w:r>
        <w:t>Do not overwrite legal documents without retaining historical versions.</w:t>
      </w:r>
    </w:p>
    <w:p>
      <w:pPr>
        <w:pStyle w:val="ListBullet"/>
      </w:pPr>
      <w:r>
        <w:t>Index effective-date metadata.</w:t>
      </w:r>
    </w:p>
    <w:p>
      <w:pPr>
        <w:pStyle w:val="ListBullet"/>
      </w:pPr>
      <w:r>
        <w:t>Flag potentially superseded sources.</w:t>
      </w:r>
    </w:p>
    <w:p>
      <w:pPr>
        <w:pStyle w:val="ListBullet"/>
      </w:pPr>
      <w:r>
        <w:t>Use scheduled source monitoring and human review before promoting material updates to production.</w:t>
      </w:r>
    </w:p>
    <w:p>
      <w:pPr>
        <w:pStyle w:val="Heading1"/>
      </w:pPr>
      <w:r>
        <w:t>14. Knowledge Graph – Initial Ontology</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Entity</w:t>
            </w:r>
          </w:p>
        </w:tc>
        <w:tc>
          <w:tcPr>
            <w:tcW w:type="dxa" w:w="5112"/>
          </w:tcPr>
          <w:p>
            <w:r>
              <w:rPr>
                <w:b/>
              </w:rPr>
              <w:t>Examples / relationships</w:t>
            </w:r>
          </w:p>
        </w:tc>
      </w:tr>
      <w:tr>
        <w:tc>
          <w:tcPr>
            <w:tcW w:type="dxa" w:w="5112"/>
            <w:vAlign w:val="top"/>
          </w:tcPr>
          <w:p>
            <w:r>
              <w:t>Product</w:t>
            </w:r>
          </w:p>
        </w:tc>
        <w:tc>
          <w:tcPr>
            <w:tcW w:type="dxa" w:w="5112"/>
            <w:vAlign w:val="top"/>
          </w:tcPr>
          <w:p>
            <w:r>
              <w:t>hasIngredient, hasClaim, hasIntendedUse, soldAs, targetsJurisdiction</w:t>
            </w:r>
          </w:p>
        </w:tc>
      </w:tr>
      <w:tr>
        <w:tc>
          <w:tcPr>
            <w:tcW w:type="dxa" w:w="5112"/>
            <w:vAlign w:val="top"/>
          </w:tcPr>
          <w:p>
            <w:r>
              <w:t>Ingredient / Biological Resource</w:t>
            </w:r>
          </w:p>
        </w:tc>
        <w:tc>
          <w:tcPr>
            <w:tcW w:type="dxa" w:w="5112"/>
            <w:vAlign w:val="top"/>
          </w:tcPr>
          <w:p>
            <w:r>
              <w:t>botanicalName, sourceRegion, biologicalResourceFlag</w:t>
            </w:r>
          </w:p>
        </w:tc>
      </w:tr>
      <w:tr>
        <w:tc>
          <w:tcPr>
            <w:tcW w:type="dxa" w:w="5112"/>
            <w:vAlign w:val="top"/>
          </w:tcPr>
          <w:p>
            <w:r>
              <w:t>Traditional Knowledge</w:t>
            </w:r>
          </w:p>
        </w:tc>
        <w:tc>
          <w:tcPr>
            <w:tcW w:type="dxa" w:w="5112"/>
            <w:vAlign w:val="top"/>
          </w:tcPr>
          <w:p>
            <w:r>
              <w:t>associatedWith, documentedIn, priorArtReference</w:t>
            </w:r>
          </w:p>
        </w:tc>
      </w:tr>
      <w:tr>
        <w:tc>
          <w:tcPr>
            <w:tcW w:type="dxa" w:w="5112"/>
            <w:vAlign w:val="top"/>
          </w:tcPr>
          <w:p>
            <w:r>
              <w:t>IP Right</w:t>
            </w:r>
          </w:p>
        </w:tc>
        <w:tc>
          <w:tcPr>
            <w:tcW w:type="dxa" w:w="5112"/>
            <w:vAlign w:val="top"/>
          </w:tcPr>
          <w:p>
            <w:r>
              <w:t>Patent, Trademark, GI, Design, Trade Secret</w:t>
            </w:r>
          </w:p>
        </w:tc>
      </w:tr>
      <w:tr>
        <w:tc>
          <w:tcPr>
            <w:tcW w:type="dxa" w:w="5112"/>
            <w:vAlign w:val="top"/>
          </w:tcPr>
          <w:p>
            <w:r>
              <w:t>Regime</w:t>
            </w:r>
          </w:p>
        </w:tc>
        <w:tc>
          <w:tcPr>
            <w:tcW w:type="dxa" w:w="5112"/>
            <w:vAlign w:val="top"/>
          </w:tcPr>
          <w:p>
            <w:r>
              <w:t>Patent law, biodiversity/ABS, drug regulation, food regulation</w:t>
            </w:r>
          </w:p>
        </w:tc>
      </w:tr>
      <w:tr>
        <w:tc>
          <w:tcPr>
            <w:tcW w:type="dxa" w:w="5112"/>
            <w:vAlign w:val="top"/>
          </w:tcPr>
          <w:p>
            <w:r>
              <w:t>Authority</w:t>
            </w:r>
          </w:p>
        </w:tc>
        <w:tc>
          <w:tcPr>
            <w:tcW w:type="dxa" w:w="5112"/>
            <w:vAlign w:val="top"/>
          </w:tcPr>
          <w:p>
            <w:r>
              <w:t>IP India, Ministry of AYUSH, CDSCO, FSSAI, NBA, WIPO</w:t>
            </w:r>
          </w:p>
        </w:tc>
      </w:tr>
      <w:tr>
        <w:tc>
          <w:tcPr>
            <w:tcW w:type="dxa" w:w="5112"/>
            <w:vAlign w:val="top"/>
          </w:tcPr>
          <w:p>
            <w:r>
              <w:t>Document</w:t>
            </w:r>
          </w:p>
        </w:tc>
        <w:tc>
          <w:tcPr>
            <w:tcW w:type="dxa" w:w="5112"/>
            <w:vAlign w:val="top"/>
          </w:tcPr>
          <w:p>
            <w:r>
              <w:t>issuedBy, effectiveFrom, amendedBy, supportsClaim</w:t>
            </w:r>
          </w:p>
        </w:tc>
      </w:tr>
      <w:tr>
        <w:tc>
          <w:tcPr>
            <w:tcW w:type="dxa" w:w="5112"/>
            <w:vAlign w:val="top"/>
          </w:tcPr>
          <w:p>
            <w:r>
              <w:t>Form / Portal</w:t>
            </w:r>
          </w:p>
        </w:tc>
        <w:tc>
          <w:tcPr>
            <w:tcW w:type="dxa" w:w="5112"/>
            <w:vAlign w:val="top"/>
          </w:tcPr>
          <w:p>
            <w:r>
              <w:t>belongsToAuthority, usedForRegime</w:t>
            </w:r>
          </w:p>
        </w:tc>
      </w:tr>
      <w:tr>
        <w:tc>
          <w:tcPr>
            <w:tcW w:type="dxa" w:w="5112"/>
            <w:vAlign w:val="top"/>
          </w:tcPr>
          <w:p>
            <w:r>
              <w:t>Jurisdiction</w:t>
            </w:r>
          </w:p>
        </w:tc>
        <w:tc>
          <w:tcPr>
            <w:tcW w:type="dxa" w:w="5112"/>
            <w:vAlign w:val="top"/>
          </w:tcPr>
          <w:p>
            <w:r>
              <w:t>India, WIPO/international, target country</w:t>
            </w:r>
          </w:p>
        </w:tc>
      </w:tr>
    </w:tbl>
    <w:p>
      <w:pPr>
        <w:pStyle w:val="Heading1"/>
      </w:pPr>
      <w:r>
        <w:t>15. API / Module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Module</w:t>
            </w:r>
          </w:p>
        </w:tc>
        <w:tc>
          <w:tcPr>
            <w:tcW w:type="dxa" w:w="3408"/>
          </w:tcPr>
          <w:p>
            <w:r>
              <w:rPr>
                <w:b/>
              </w:rPr>
              <w:t>Example endpoint / function</w:t>
            </w:r>
          </w:p>
        </w:tc>
        <w:tc>
          <w:tcPr>
            <w:tcW w:type="dxa" w:w="3408"/>
          </w:tcPr>
          <w:p>
            <w:r>
              <w:rPr>
                <w:b/>
              </w:rPr>
              <w:t>Output</w:t>
            </w:r>
          </w:p>
        </w:tc>
      </w:tr>
      <w:tr>
        <w:tc>
          <w:tcPr>
            <w:tcW w:type="dxa" w:w="3408"/>
            <w:vAlign w:val="top"/>
          </w:tcPr>
          <w:p>
            <w:r>
              <w:t>Case</w:t>
            </w:r>
          </w:p>
        </w:tc>
        <w:tc>
          <w:tcPr>
            <w:tcW w:type="dxa" w:w="3408"/>
            <w:vAlign w:val="top"/>
          </w:tcPr>
          <w:p>
            <w:r>
              <w:t>POST /case</w:t>
            </w:r>
          </w:p>
        </w:tc>
        <w:tc>
          <w:tcPr>
            <w:tcW w:type="dxa" w:w="3408"/>
            <w:vAlign w:val="top"/>
          </w:tcPr>
          <w:p>
            <w:r>
              <w:t>Structured product case ID</w:t>
            </w:r>
          </w:p>
        </w:tc>
      </w:tr>
      <w:tr>
        <w:tc>
          <w:tcPr>
            <w:tcW w:type="dxa" w:w="3408"/>
            <w:vAlign w:val="top"/>
          </w:tcPr>
          <w:p>
            <w:r>
              <w:t>Classification</w:t>
            </w:r>
          </w:p>
        </w:tc>
        <w:tc>
          <w:tcPr>
            <w:tcW w:type="dxa" w:w="3408"/>
            <w:vAlign w:val="top"/>
          </w:tcPr>
          <w:p>
            <w:r>
              <w:t>POST /classify</w:t>
            </w:r>
          </w:p>
        </w:tc>
        <w:tc>
          <w:tcPr>
            <w:tcW w:type="dxa" w:w="3408"/>
            <w:vAlign w:val="top"/>
          </w:tcPr>
          <w:p>
            <w:r>
              <w:t>Category + rationale + confidence</w:t>
            </w:r>
          </w:p>
        </w:tc>
      </w:tr>
      <w:tr>
        <w:tc>
          <w:tcPr>
            <w:tcW w:type="dxa" w:w="3408"/>
            <w:vAlign w:val="top"/>
          </w:tcPr>
          <w:p>
            <w:r>
              <w:t>Applicability</w:t>
            </w:r>
          </w:p>
        </w:tc>
        <w:tc>
          <w:tcPr>
            <w:tcW w:type="dxa" w:w="3408"/>
            <w:vAlign w:val="top"/>
          </w:tcPr>
          <w:p>
            <w:r>
              <w:t>POST /applicability</w:t>
            </w:r>
          </w:p>
        </w:tc>
        <w:tc>
          <w:tcPr>
            <w:tcW w:type="dxa" w:w="3408"/>
            <w:vAlign w:val="top"/>
          </w:tcPr>
          <w:p>
            <w:r>
              <w:t>Applicable regimes + why</w:t>
            </w:r>
          </w:p>
        </w:tc>
      </w:tr>
      <w:tr>
        <w:tc>
          <w:tcPr>
            <w:tcW w:type="dxa" w:w="3408"/>
            <w:vAlign w:val="top"/>
          </w:tcPr>
          <w:p>
            <w:r>
              <w:t>Search</w:t>
            </w:r>
          </w:p>
        </w:tc>
        <w:tc>
          <w:tcPr>
            <w:tcW w:type="dxa" w:w="3408"/>
            <w:vAlign w:val="top"/>
          </w:tcPr>
          <w:p>
            <w:r>
              <w:t>POST /retrieve</w:t>
            </w:r>
          </w:p>
        </w:tc>
        <w:tc>
          <w:tcPr>
            <w:tcW w:type="dxa" w:w="3408"/>
            <w:vAlign w:val="top"/>
          </w:tcPr>
          <w:p>
            <w:r>
              <w:t>Ranked evidence passages</w:t>
            </w:r>
          </w:p>
        </w:tc>
      </w:tr>
      <w:tr>
        <w:tc>
          <w:tcPr>
            <w:tcW w:type="dxa" w:w="3408"/>
            <w:vAlign w:val="top"/>
          </w:tcPr>
          <w:p>
            <w:r>
              <w:t>Answer</w:t>
            </w:r>
          </w:p>
        </w:tc>
        <w:tc>
          <w:tcPr>
            <w:tcW w:type="dxa" w:w="3408"/>
            <w:vAlign w:val="top"/>
          </w:tcPr>
          <w:p>
            <w:r>
              <w:t>POST /answer</w:t>
            </w:r>
          </w:p>
        </w:tc>
        <w:tc>
          <w:tcPr>
            <w:tcW w:type="dxa" w:w="3408"/>
            <w:vAlign w:val="top"/>
          </w:tcPr>
          <w:p>
            <w:r>
              <w:t>Structured cited guidance</w:t>
            </w:r>
          </w:p>
        </w:tc>
      </w:tr>
      <w:tr>
        <w:tc>
          <w:tcPr>
            <w:tcW w:type="dxa" w:w="3408"/>
            <w:vAlign w:val="top"/>
          </w:tcPr>
          <w:p>
            <w:r>
              <w:t>ABS</w:t>
            </w:r>
          </w:p>
        </w:tc>
        <w:tc>
          <w:tcPr>
            <w:tcW w:type="dxa" w:w="3408"/>
            <w:vAlign w:val="top"/>
          </w:tcPr>
          <w:p>
            <w:r>
              <w:t>POST /abs-check</w:t>
            </w:r>
          </w:p>
        </w:tc>
        <w:tc>
          <w:tcPr>
            <w:tcW w:type="dxa" w:w="3408"/>
            <w:vAlign w:val="top"/>
          </w:tcPr>
          <w:p>
            <w:r>
              <w:t>Potential ABS route + evidence</w:t>
            </w:r>
          </w:p>
        </w:tc>
      </w:tr>
      <w:tr>
        <w:tc>
          <w:tcPr>
            <w:tcW w:type="dxa" w:w="3408"/>
            <w:vAlign w:val="top"/>
          </w:tcPr>
          <w:p>
            <w:r>
              <w:t>TK</w:t>
            </w:r>
          </w:p>
        </w:tc>
        <w:tc>
          <w:tcPr>
            <w:tcW w:type="dxa" w:w="3408"/>
            <w:vAlign w:val="top"/>
          </w:tcPr>
          <w:p>
            <w:r>
              <w:t>POST /tk-check</w:t>
            </w:r>
          </w:p>
        </w:tc>
        <w:tc>
          <w:tcPr>
            <w:tcW w:type="dxa" w:w="3408"/>
            <w:vAlign w:val="top"/>
          </w:tcPr>
          <w:p>
            <w:r>
              <w:t>TK/prior-art pointers + caveats</w:t>
            </w:r>
          </w:p>
        </w:tc>
      </w:tr>
      <w:tr>
        <w:tc>
          <w:tcPr>
            <w:tcW w:type="dxa" w:w="3408"/>
            <w:vAlign w:val="top"/>
          </w:tcPr>
          <w:p>
            <w:r>
              <w:t>Jurisdiction</w:t>
            </w:r>
          </w:p>
        </w:tc>
        <w:tc>
          <w:tcPr>
            <w:tcW w:type="dxa" w:w="3408"/>
            <w:vAlign w:val="top"/>
          </w:tcPr>
          <w:p>
            <w:r>
              <w:t>POST /jurisdiction</w:t>
            </w:r>
          </w:p>
        </w:tc>
        <w:tc>
          <w:tcPr>
            <w:tcW w:type="dxa" w:w="3408"/>
            <w:vAlign w:val="top"/>
          </w:tcPr>
          <w:p>
            <w:r>
              <w:t>India/international route</w:t>
            </w:r>
          </w:p>
        </w:tc>
      </w:tr>
      <w:tr>
        <w:tc>
          <w:tcPr>
            <w:tcW w:type="dxa" w:w="3408"/>
            <w:vAlign w:val="top"/>
          </w:tcPr>
          <w:p>
            <w:r>
              <w:t>Escalation</w:t>
            </w:r>
          </w:p>
        </w:tc>
        <w:tc>
          <w:tcPr>
            <w:tcW w:type="dxa" w:w="3408"/>
            <w:vAlign w:val="top"/>
          </w:tcPr>
          <w:p>
            <w:r>
              <w:t>POST /escalate</w:t>
            </w:r>
          </w:p>
        </w:tc>
        <w:tc>
          <w:tcPr>
            <w:tcW w:type="dxa" w:w="3408"/>
            <w:vAlign w:val="top"/>
          </w:tcPr>
          <w:p>
            <w:r>
              <w:t>Human-review case brief</w:t>
            </w:r>
          </w:p>
        </w:tc>
      </w:tr>
      <w:tr>
        <w:tc>
          <w:tcPr>
            <w:tcW w:type="dxa" w:w="3408"/>
            <w:vAlign w:val="top"/>
          </w:tcPr>
          <w:p>
            <w:r>
              <w:t>Corpus</w:t>
            </w:r>
          </w:p>
        </w:tc>
        <w:tc>
          <w:tcPr>
            <w:tcW w:type="dxa" w:w="3408"/>
            <w:vAlign w:val="top"/>
          </w:tcPr>
          <w:p>
            <w:r>
              <w:t>GET /sources/:id</w:t>
            </w:r>
          </w:p>
        </w:tc>
        <w:tc>
          <w:tcPr>
            <w:tcW w:type="dxa" w:w="3408"/>
            <w:vAlign w:val="top"/>
          </w:tcPr>
          <w:p>
            <w:r>
              <w:t>Source metadata/version/history</w:t>
            </w:r>
          </w:p>
        </w:tc>
      </w:tr>
    </w:tbl>
    <w:p>
      <w:pPr>
        <w:pStyle w:val="Heading1"/>
      </w:pPr>
      <w:r>
        <w:t>16. Answer UX Specification</w:t>
      </w:r>
    </w:p>
    <w:p>
      <w:r>
        <w:t>Recommended answer layout:</w:t>
      </w:r>
    </w:p>
    <w:p>
      <w:pPr>
        <w:pStyle w:val="ListNumber"/>
      </w:pPr>
      <w:r>
        <w:t>1. What I understood about your product</w:t>
      </w:r>
    </w:p>
    <w:p>
      <w:pPr>
        <w:pStyle w:val="ListNumber"/>
      </w:pPr>
      <w:r>
        <w:t>2. Likely classification</w:t>
      </w:r>
    </w:p>
    <w:p>
      <w:pPr>
        <w:pStyle w:val="ListNumber"/>
      </w:pPr>
      <w:r>
        <w:t>3. What may apply — IP</w:t>
      </w:r>
    </w:p>
    <w:p>
      <w:pPr>
        <w:pStyle w:val="ListNumber"/>
      </w:pPr>
      <w:r>
        <w:t>4. What may apply — TK / prior art</w:t>
      </w:r>
    </w:p>
    <w:p>
      <w:pPr>
        <w:pStyle w:val="ListNumber"/>
      </w:pPr>
      <w:r>
        <w:t>5. What may apply — ABS / biological resources</w:t>
      </w:r>
    </w:p>
    <w:p>
      <w:pPr>
        <w:pStyle w:val="ListNumber"/>
      </w:pPr>
      <w:r>
        <w:t>6. What may apply — product regulation</w:t>
      </w:r>
    </w:p>
    <w:p>
      <w:pPr>
        <w:pStyle w:val="ListNumber"/>
      </w:pPr>
      <w:r>
        <w:t>7. Jurisdiction-specific pathway</w:t>
      </w:r>
    </w:p>
    <w:p>
      <w:pPr>
        <w:pStyle w:val="ListNumber"/>
      </w:pPr>
      <w:r>
        <w:t>8. Why each item applies</w:t>
      </w:r>
    </w:p>
    <w:p>
      <w:pPr>
        <w:pStyle w:val="ListNumber"/>
      </w:pPr>
      <w:r>
        <w:t>9. Required / useful next actions</w:t>
      </w:r>
    </w:p>
    <w:p>
      <w:pPr>
        <w:pStyle w:val="ListNumber"/>
      </w:pPr>
      <w:r>
        <w:t>10. Official sources</w:t>
      </w:r>
    </w:p>
    <w:p>
      <w:pPr>
        <w:pStyle w:val="ListNumber"/>
      </w:pPr>
      <w:r>
        <w:t>11. Confidence + assumptions</w:t>
      </w:r>
    </w:p>
    <w:p>
      <w:pPr>
        <w:pStyle w:val="ListNumber"/>
      </w:pPr>
      <w:r>
        <w:t>12. Human-review recommendation, if needed</w:t>
      </w:r>
    </w:p>
    <w:p>
      <w:pPr>
        <w:pStyle w:val="ListNumber"/>
      </w:pPr>
      <w:r>
        <w:t>13. Disclaimer: informational guidance, not legal advice</w:t>
      </w:r>
    </w:p>
    <w:p>
      <w:pPr>
        <w:pStyle w:val="Heading1"/>
      </w:pPr>
      <w:r>
        <w:t>17. Multilingual Requirements</w:t>
      </w:r>
    </w:p>
    <w:p>
      <w:pPr>
        <w:pStyle w:val="ListBullet"/>
      </w:pPr>
      <w:r>
        <w:t>Initial languages: English + Hindi, with architecture ready for Marathi and additional Indian languages.</w:t>
      </w:r>
    </w:p>
    <w:p>
      <w:pPr>
        <w:pStyle w:val="ListBullet"/>
      </w:pPr>
      <w:r>
        <w:t>Integrate national language infrastructure such as Bhashini where permitted and technically suitable.</w:t>
      </w:r>
    </w:p>
    <w:p>
      <w:pPr>
        <w:pStyle w:val="ListBullet"/>
      </w:pPr>
      <w:r>
        <w:t>Preserve legal terms in original language/English alongside translated explanations where translation could change meaning.</w:t>
      </w:r>
    </w:p>
    <w:p>
      <w:pPr>
        <w:pStyle w:val="ListBullet"/>
      </w:pPr>
      <w:r>
        <w:t>Do not translate statutory titles, section numbers or form names in a way that breaks source traceability.</w:t>
      </w:r>
    </w:p>
    <w:p>
      <w:pPr>
        <w:pStyle w:val="ListBullet"/>
      </w:pPr>
      <w:r>
        <w:t>Evaluate semantic equivalence, not just fluency.</w:t>
      </w:r>
    </w:p>
    <w:p>
      <w:pPr>
        <w:pStyle w:val="Heading1"/>
      </w:pPr>
      <w:r>
        <w:t>18. Privacy, Security &amp; Safety</w:t>
      </w:r>
    </w:p>
    <w:p>
      <w:pPr>
        <w:pStyle w:val="ListBullet"/>
      </w:pPr>
      <w:r>
        <w:t>Collect only information needed for case analysis.</w:t>
      </w:r>
    </w:p>
    <w:p>
      <w:pPr>
        <w:pStyle w:val="ListBullet"/>
      </w:pPr>
      <w:r>
        <w:t>Explicitly warn users not to submit unnecessary confidential formulas, trade secrets, credentials or personal identifiers.</w:t>
      </w:r>
    </w:p>
    <w:p>
      <w:pPr>
        <w:pStyle w:val="ListBullet"/>
      </w:pPr>
      <w:r>
        <w:t>Encrypt data in transit and at rest.</w:t>
      </w:r>
    </w:p>
    <w:p>
      <w:pPr>
        <w:pStyle w:val="ListBullet"/>
      </w:pPr>
      <w:r>
        <w:t>Role-based access for facilitators/admins.</w:t>
      </w:r>
    </w:p>
    <w:p>
      <w:pPr>
        <w:pStyle w:val="ListBullet"/>
      </w:pPr>
      <w:r>
        <w:t>Audit access to sensitive case data.</w:t>
      </w:r>
    </w:p>
    <w:p>
      <w:pPr>
        <w:pStyle w:val="ListBullet"/>
      </w:pPr>
      <w:r>
        <w:t>Configurable retention/deletion policy.</w:t>
      </w:r>
    </w:p>
    <w:p>
      <w:pPr>
        <w:pStyle w:val="ListBullet"/>
      </w:pPr>
      <w:r>
        <w:t>Prompt-injection and retrieval-poisoning defenses.</w:t>
      </w:r>
    </w:p>
    <w:p>
      <w:pPr>
        <w:pStyle w:val="ListBullet"/>
      </w:pPr>
      <w:r>
        <w:t>Source allowlist / authority ranking.</w:t>
      </w:r>
    </w:p>
    <w:p>
      <w:pPr>
        <w:pStyle w:val="ListBullet"/>
      </w:pPr>
      <w:r>
        <w:t>No unsupported legal conclusions.</w:t>
      </w:r>
    </w:p>
    <w:p>
      <w:pPr>
        <w:pStyle w:val="ListBullet"/>
      </w:pPr>
      <w:r>
        <w:t>No medical diagnosis, treatment recommendation or health advice.</w:t>
      </w:r>
    </w:p>
    <w:p>
      <w:pPr>
        <w:pStyle w:val="ListBullet"/>
      </w:pPr>
      <w:r>
        <w:t>No claim that the AI output is a substitute for a lawyer, patent agent, regulatory professional or competent authority.</w:t>
      </w:r>
    </w:p>
    <w:p>
      <w:pPr>
        <w:pStyle w:val="Heading1"/>
      </w:pPr>
      <w:r>
        <w:t>19.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w:t>
            </w:r>
          </w:p>
        </w:tc>
        <w:tc>
          <w:tcPr>
            <w:tcW w:type="dxa" w:w="5112"/>
          </w:tcPr>
          <w:p>
            <w:r>
              <w:rPr>
                <w:b/>
              </w:rPr>
              <w:t>Target for prototype / MVP</w:t>
            </w:r>
          </w:p>
        </w:tc>
      </w:tr>
      <w:tr>
        <w:tc>
          <w:tcPr>
            <w:tcW w:type="dxa" w:w="5112"/>
            <w:vAlign w:val="top"/>
          </w:tcPr>
          <w:p>
            <w:r>
              <w:t>Citation coverage</w:t>
            </w:r>
          </w:p>
        </w:tc>
        <w:tc>
          <w:tcPr>
            <w:tcW w:type="dxa" w:w="5112"/>
            <w:vAlign w:val="top"/>
          </w:tcPr>
          <w:p>
            <w:r>
              <w:t>≥95% of material legal/regulatory claims have a valid source citation.</w:t>
            </w:r>
          </w:p>
        </w:tc>
      </w:tr>
      <w:tr>
        <w:tc>
          <w:tcPr>
            <w:tcW w:type="dxa" w:w="5112"/>
            <w:vAlign w:val="top"/>
          </w:tcPr>
          <w:p>
            <w:r>
              <w:t>Citation correctness</w:t>
            </w:r>
          </w:p>
        </w:tc>
        <w:tc>
          <w:tcPr>
            <w:tcW w:type="dxa" w:w="5112"/>
            <w:vAlign w:val="top"/>
          </w:tcPr>
          <w:p>
            <w:r>
              <w:t>≥90% supported by the cited passage on benchmark set; target ≥95% before production.</w:t>
            </w:r>
          </w:p>
        </w:tc>
      </w:tr>
      <w:tr>
        <w:tc>
          <w:tcPr>
            <w:tcW w:type="dxa" w:w="5112"/>
            <w:vAlign w:val="top"/>
          </w:tcPr>
          <w:p>
            <w:r>
              <w:t>Safe abstention</w:t>
            </w:r>
          </w:p>
        </w:tc>
        <w:tc>
          <w:tcPr>
            <w:tcW w:type="dxa" w:w="5112"/>
            <w:vAlign w:val="top"/>
          </w:tcPr>
          <w:p>
            <w:r>
              <w:t>≥95% on deliberately ambiguous/out-of-scope benchmark cases.</w:t>
            </w:r>
          </w:p>
        </w:tc>
      </w:tr>
      <w:tr>
        <w:tc>
          <w:tcPr>
            <w:tcW w:type="dxa" w:w="5112"/>
            <w:vAlign w:val="top"/>
          </w:tcPr>
          <w:p>
            <w:r>
              <w:t>Classification accuracy</w:t>
            </w:r>
          </w:p>
        </w:tc>
        <w:tc>
          <w:tcPr>
            <w:tcW w:type="dxa" w:w="5112"/>
            <w:vAlign w:val="top"/>
          </w:tcPr>
          <w:p>
            <w:r>
              <w:t>≥90% on curated product-classification benchmark.</w:t>
            </w:r>
          </w:p>
        </w:tc>
      </w:tr>
      <w:tr>
        <w:tc>
          <w:tcPr>
            <w:tcW w:type="dxa" w:w="5112"/>
            <w:vAlign w:val="top"/>
          </w:tcPr>
          <w:p>
            <w:r>
              <w:t>Latency</w:t>
            </w:r>
          </w:p>
        </w:tc>
        <w:tc>
          <w:tcPr>
            <w:tcW w:type="dxa" w:w="5112"/>
            <w:vAlign w:val="top"/>
          </w:tcPr>
          <w:p>
            <w:r>
              <w:t>Target P95 ≤ 8 seconds for standard text query, excluding external human escalation.</w:t>
            </w:r>
          </w:p>
        </w:tc>
      </w:tr>
      <w:tr>
        <w:tc>
          <w:tcPr>
            <w:tcW w:type="dxa" w:w="5112"/>
            <w:vAlign w:val="top"/>
          </w:tcPr>
          <w:p>
            <w:r>
              <w:t>Availability</w:t>
            </w:r>
          </w:p>
        </w:tc>
        <w:tc>
          <w:tcPr>
            <w:tcW w:type="dxa" w:w="5112"/>
            <w:vAlign w:val="top"/>
          </w:tcPr>
          <w:p>
            <w:r>
              <w:t>≥99% during demo / evaluation window.</w:t>
            </w:r>
          </w:p>
        </w:tc>
      </w:tr>
      <w:tr>
        <w:tc>
          <w:tcPr>
            <w:tcW w:type="dxa" w:w="5112"/>
            <w:vAlign w:val="top"/>
          </w:tcPr>
          <w:p>
            <w:r>
              <w:t>Traceability</w:t>
            </w:r>
          </w:p>
        </w:tc>
        <w:tc>
          <w:tcPr>
            <w:tcW w:type="dxa" w:w="5112"/>
            <w:vAlign w:val="top"/>
          </w:tcPr>
          <w:p>
            <w:r>
              <w:t>100% of generated answers store source IDs and corpus versions internally.</w:t>
            </w:r>
          </w:p>
        </w:tc>
      </w:tr>
      <w:tr>
        <w:tc>
          <w:tcPr>
            <w:tcW w:type="dxa" w:w="5112"/>
            <w:vAlign w:val="top"/>
          </w:tcPr>
          <w:p>
            <w:r>
              <w:t>Multilingual quality</w:t>
            </w:r>
          </w:p>
        </w:tc>
        <w:tc>
          <w:tcPr>
            <w:tcW w:type="dxa" w:w="5112"/>
            <w:vAlign w:val="top"/>
          </w:tcPr>
          <w:p>
            <w:r>
              <w:t>Human-evaluated semantic adequacy ≥4/5 on supported-language benchmark.</w:t>
            </w:r>
          </w:p>
        </w:tc>
      </w:tr>
      <w:tr>
        <w:tc>
          <w:tcPr>
            <w:tcW w:type="dxa" w:w="5112"/>
            <w:vAlign w:val="top"/>
          </w:tcPr>
          <w:p>
            <w:r>
              <w:t>Freshness</w:t>
            </w:r>
          </w:p>
        </w:tc>
        <w:tc>
          <w:tcPr>
            <w:tcW w:type="dxa" w:w="5112"/>
            <w:vAlign w:val="top"/>
          </w:tcPr>
          <w:p>
            <w:r>
              <w:t>Source update monitoring with visible last-verified metadata.</w:t>
            </w:r>
          </w:p>
        </w:tc>
      </w:tr>
    </w:tbl>
    <w:p>
      <w:pPr>
        <w:pStyle w:val="Heading1"/>
      </w:pPr>
      <w:r>
        <w:t>20. Evaluation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Metric</w:t>
            </w:r>
          </w:p>
        </w:tc>
        <w:tc>
          <w:tcPr>
            <w:tcW w:type="dxa" w:w="3408"/>
          </w:tcPr>
          <w:p>
            <w:r>
              <w:rPr>
                <w:b/>
              </w:rPr>
              <w:t>Definition</w:t>
            </w:r>
          </w:p>
        </w:tc>
        <w:tc>
          <w:tcPr>
            <w:tcW w:type="dxa" w:w="3408"/>
          </w:tcPr>
          <w:p>
            <w:r>
              <w:rPr>
                <w:b/>
              </w:rPr>
              <w:t>Evaluation method</w:t>
            </w:r>
          </w:p>
        </w:tc>
      </w:tr>
      <w:tr>
        <w:tc>
          <w:tcPr>
            <w:tcW w:type="dxa" w:w="3408"/>
            <w:vAlign w:val="top"/>
          </w:tcPr>
          <w:p>
            <w:r>
              <w:t>Answer Accuracy</w:t>
            </w:r>
          </w:p>
        </w:tc>
        <w:tc>
          <w:tcPr>
            <w:tcW w:type="dxa" w:w="3408"/>
            <w:vAlign w:val="top"/>
          </w:tcPr>
          <w:p>
            <w:r>
              <w:t>Correctness of guidance against gold-standard expert answers.</w:t>
            </w:r>
          </w:p>
        </w:tc>
        <w:tc>
          <w:tcPr>
            <w:tcW w:type="dxa" w:w="3408"/>
            <w:vAlign w:val="top"/>
          </w:tcPr>
          <w:p>
            <w:r>
              <w:t>Expert-annotated benchmark cases.</w:t>
            </w:r>
          </w:p>
        </w:tc>
      </w:tr>
      <w:tr>
        <w:tc>
          <w:tcPr>
            <w:tcW w:type="dxa" w:w="3408"/>
            <w:vAlign w:val="top"/>
          </w:tcPr>
          <w:p>
            <w:r>
              <w:t>Citation Correctness</w:t>
            </w:r>
          </w:p>
        </w:tc>
        <w:tc>
          <w:tcPr>
            <w:tcW w:type="dxa" w:w="3408"/>
            <w:vAlign w:val="top"/>
          </w:tcPr>
          <w:p>
            <w:r>
              <w:t>Whether citation actually supports the claim.</w:t>
            </w:r>
          </w:p>
        </w:tc>
        <w:tc>
          <w:tcPr>
            <w:tcW w:type="dxa" w:w="3408"/>
            <w:vAlign w:val="top"/>
          </w:tcPr>
          <w:p>
            <w:r>
              <w:t>Claim-evidence entailment review.</w:t>
            </w:r>
          </w:p>
        </w:tc>
      </w:tr>
      <w:tr>
        <w:tc>
          <w:tcPr>
            <w:tcW w:type="dxa" w:w="3408"/>
            <w:vAlign w:val="top"/>
          </w:tcPr>
          <w:p>
            <w:r>
              <w:t>Citation Completeness</w:t>
            </w:r>
          </w:p>
        </w:tc>
        <w:tc>
          <w:tcPr>
            <w:tcW w:type="dxa" w:w="3408"/>
            <w:vAlign w:val="top"/>
          </w:tcPr>
          <w:p>
            <w:r>
              <w:t>Whether material claims are cited.</w:t>
            </w:r>
          </w:p>
        </w:tc>
        <w:tc>
          <w:tcPr>
            <w:tcW w:type="dxa" w:w="3408"/>
            <w:vAlign w:val="top"/>
          </w:tcPr>
          <w:p>
            <w:r>
              <w:t>Automated + human audit.</w:t>
            </w:r>
          </w:p>
        </w:tc>
      </w:tr>
      <w:tr>
        <w:tc>
          <w:tcPr>
            <w:tcW w:type="dxa" w:w="3408"/>
            <w:vAlign w:val="top"/>
          </w:tcPr>
          <w:p>
            <w:r>
              <w:t>Safe Abstention</w:t>
            </w:r>
          </w:p>
        </w:tc>
        <w:tc>
          <w:tcPr>
            <w:tcW w:type="dxa" w:w="3408"/>
            <w:vAlign w:val="top"/>
          </w:tcPr>
          <w:p>
            <w:r>
              <w:t>Refusal to overstate when evidence is insufficient.</w:t>
            </w:r>
          </w:p>
        </w:tc>
        <w:tc>
          <w:tcPr>
            <w:tcW w:type="dxa" w:w="3408"/>
            <w:vAlign w:val="top"/>
          </w:tcPr>
          <w:p>
            <w:r>
              <w:t>Adversarial/ambiguous cases.</w:t>
            </w:r>
          </w:p>
        </w:tc>
      </w:tr>
      <w:tr>
        <w:tc>
          <w:tcPr>
            <w:tcW w:type="dxa" w:w="3408"/>
            <w:vAlign w:val="top"/>
          </w:tcPr>
          <w:p>
            <w:r>
              <w:t>Classification Accuracy</w:t>
            </w:r>
          </w:p>
        </w:tc>
        <w:tc>
          <w:tcPr>
            <w:tcW w:type="dxa" w:w="3408"/>
            <w:vAlign w:val="top"/>
          </w:tcPr>
          <w:p>
            <w:r>
              <w:t>Correct product/regulatory classification.</w:t>
            </w:r>
          </w:p>
        </w:tc>
        <w:tc>
          <w:tcPr>
            <w:tcW w:type="dxa" w:w="3408"/>
            <w:vAlign w:val="top"/>
          </w:tcPr>
          <w:p>
            <w:r>
              <w:t>Curated labelled dataset.</w:t>
            </w:r>
          </w:p>
        </w:tc>
      </w:tr>
      <w:tr>
        <w:tc>
          <w:tcPr>
            <w:tcW w:type="dxa" w:w="3408"/>
            <w:vAlign w:val="top"/>
          </w:tcPr>
          <w:p>
            <w:r>
              <w:t>Jurisdiction Accuracy</w:t>
            </w:r>
          </w:p>
        </w:tc>
        <w:tc>
          <w:tcPr>
            <w:tcW w:type="dxa" w:w="3408"/>
            <w:vAlign w:val="top"/>
          </w:tcPr>
          <w:p>
            <w:r>
              <w:t>Correct separation and routing of India vs target jurisdiction.</w:t>
            </w:r>
          </w:p>
        </w:tc>
        <w:tc>
          <w:tcPr>
            <w:tcW w:type="dxa" w:w="3408"/>
            <w:vAlign w:val="top"/>
          </w:tcPr>
          <w:p>
            <w:r>
              <w:t>Cross-jurisdiction benchmark.</w:t>
            </w:r>
          </w:p>
        </w:tc>
      </w:tr>
      <w:tr>
        <w:tc>
          <w:tcPr>
            <w:tcW w:type="dxa" w:w="3408"/>
            <w:vAlign w:val="top"/>
          </w:tcPr>
          <w:p>
            <w:r>
              <w:t>Multilingual Quality</w:t>
            </w:r>
          </w:p>
        </w:tc>
        <w:tc>
          <w:tcPr>
            <w:tcW w:type="dxa" w:w="3408"/>
            <w:vAlign w:val="top"/>
          </w:tcPr>
          <w:p>
            <w:r>
              <w:t>Meaning preservation and usability.</w:t>
            </w:r>
          </w:p>
        </w:tc>
        <w:tc>
          <w:tcPr>
            <w:tcW w:type="dxa" w:w="3408"/>
            <w:vAlign w:val="top"/>
          </w:tcPr>
          <w:p>
            <w:r>
              <w:t>Native-speaker evaluation.</w:t>
            </w:r>
          </w:p>
        </w:tc>
      </w:tr>
      <w:tr>
        <w:tc>
          <w:tcPr>
            <w:tcW w:type="dxa" w:w="3408"/>
            <w:vAlign w:val="top"/>
          </w:tcPr>
          <w:p>
            <w:r>
              <w:t>Freshness</w:t>
            </w:r>
          </w:p>
        </w:tc>
        <w:tc>
          <w:tcPr>
            <w:tcW w:type="dxa" w:w="3408"/>
            <w:vAlign w:val="top"/>
          </w:tcPr>
          <w:p>
            <w:r>
              <w:t>Use of current effective sources over superseded material.</w:t>
            </w:r>
          </w:p>
        </w:tc>
        <w:tc>
          <w:tcPr>
            <w:tcW w:type="dxa" w:w="3408"/>
            <w:vAlign w:val="top"/>
          </w:tcPr>
          <w:p>
            <w:r>
              <w:t>Versioned corpus tests.</w:t>
            </w:r>
          </w:p>
        </w:tc>
      </w:tr>
      <w:tr>
        <w:tc>
          <w:tcPr>
            <w:tcW w:type="dxa" w:w="3408"/>
            <w:vAlign w:val="top"/>
          </w:tcPr>
          <w:p>
            <w:r>
              <w:t>Human Escalation Precision</w:t>
            </w:r>
          </w:p>
        </w:tc>
        <w:tc>
          <w:tcPr>
            <w:tcW w:type="dxa" w:w="3408"/>
            <w:vAlign w:val="top"/>
          </w:tcPr>
          <w:p>
            <w:r>
              <w:t>Whether risky cases are correctly escalated.</w:t>
            </w:r>
          </w:p>
        </w:tc>
        <w:tc>
          <w:tcPr>
            <w:tcW w:type="dxa" w:w="3408"/>
            <w:vAlign w:val="top"/>
          </w:tcPr>
          <w:p>
            <w:r>
              <w:t>Expert review.</w:t>
            </w:r>
          </w:p>
        </w:tc>
      </w:tr>
    </w:tbl>
    <w:p>
      <w:pPr>
        <w:pStyle w:val="Heading1"/>
      </w:pPr>
      <w:r>
        <w:t>21. MVP Scope for SIH</w:t>
      </w:r>
    </w:p>
    <w:p>
      <w:pPr>
        <w:pStyle w:val="Heading2"/>
      </w:pPr>
      <w:r>
        <w:t>Must Have</w:t>
      </w:r>
    </w:p>
    <w:p>
      <w:pPr>
        <w:pStyle w:val="ListBullet"/>
      </w:pPr>
      <w:r>
        <w:t>Guided product case intake.</w:t>
      </w:r>
    </w:p>
    <w:p>
      <w:pPr>
        <w:pStyle w:val="ListBullet"/>
      </w:pPr>
      <w:r>
        <w:t>India-first jurisdiction toggle + international reference view.</w:t>
      </w:r>
    </w:p>
    <w:p>
      <w:pPr>
        <w:pStyle w:val="ListBullet"/>
      </w:pPr>
      <w:r>
        <w:t>Product classification prototype.</w:t>
      </w:r>
    </w:p>
    <w:p>
      <w:pPr>
        <w:pStyle w:val="ListBullet"/>
      </w:pPr>
      <w:r>
        <w:t>IP route mapping.</w:t>
      </w:r>
    </w:p>
    <w:p>
      <w:pPr>
        <w:pStyle w:val="ListBullet"/>
      </w:pPr>
      <w:r>
        <w:t>TKDL/prior-art pointer module.</w:t>
      </w:r>
    </w:p>
    <w:p>
      <w:pPr>
        <w:pStyle w:val="ListBullet"/>
      </w:pPr>
      <w:r>
        <w:t>ABS helper prototype.</w:t>
      </w:r>
    </w:p>
    <w:p>
      <w:pPr>
        <w:pStyle w:val="ListBullet"/>
      </w:pPr>
      <w:r>
        <w:t>Ayurvedic drug vs Ayurveda Aahara regulatory routing.</w:t>
      </w:r>
    </w:p>
    <w:p>
      <w:pPr>
        <w:pStyle w:val="ListBullet"/>
      </w:pPr>
      <w:r>
        <w:t>Hybrid RAG over curated official corpus.</w:t>
      </w:r>
    </w:p>
    <w:p>
      <w:pPr>
        <w:pStyle w:val="ListBullet"/>
      </w:pPr>
      <w:r>
        <w:t>Mandatory source citations.</w:t>
      </w:r>
    </w:p>
    <w:p>
      <w:pPr>
        <w:pStyle w:val="ListBullet"/>
      </w:pPr>
      <w:r>
        <w:t>Confidence and safe abstention.</w:t>
      </w:r>
    </w:p>
    <w:p>
      <w:pPr>
        <w:pStyle w:val="ListBullet"/>
      </w:pPr>
      <w:r>
        <w:t>Multilingual English/Hindi UI.</w:t>
      </w:r>
    </w:p>
    <w:p>
      <w:pPr>
        <w:pStyle w:val="ListBullet"/>
      </w:pPr>
      <w:r>
        <w:t>Human escalation case brief.</w:t>
      </w:r>
    </w:p>
    <w:p>
      <w:pPr>
        <w:pStyle w:val="ListBullet"/>
      </w:pPr>
      <w:r>
        <w:t>Admin corpus versioning dashboard or scripted ingestion pipeline.</w:t>
      </w:r>
    </w:p>
    <w:p>
      <w:pPr>
        <w:pStyle w:val="Heading2"/>
      </w:pPr>
      <w:r>
        <w:t>Nice to Have</w:t>
      </w:r>
    </w:p>
    <w:p>
      <w:pPr>
        <w:pStyle w:val="ListBullet"/>
      </w:pPr>
      <w:r>
        <w:t>Marathi and additional Indian languages.</w:t>
      </w:r>
    </w:p>
    <w:p>
      <w:pPr>
        <w:pStyle w:val="ListBullet"/>
      </w:pPr>
      <w:r>
        <w:t>Speech input/output.</w:t>
      </w:r>
    </w:p>
    <w:p>
      <w:pPr>
        <w:pStyle w:val="ListBullet"/>
      </w:pPr>
      <w:r>
        <w:t>Multi-country comparison.</w:t>
      </w:r>
    </w:p>
    <w:p>
      <w:pPr>
        <w:pStyle w:val="ListBullet"/>
      </w:pPr>
      <w:r>
        <w:t>Automated change detection on official portals.</w:t>
      </w:r>
    </w:p>
    <w:p>
      <w:pPr>
        <w:pStyle w:val="ListBullet"/>
      </w:pPr>
      <w:r>
        <w:t>Knowledge-graph visualisation.</w:t>
      </w:r>
    </w:p>
    <w:p>
      <w:pPr>
        <w:pStyle w:val="ListBullet"/>
      </w:pPr>
      <w:r>
        <w:t>Exportable compliance/IP roadmap PDF.</w:t>
      </w:r>
    </w:p>
    <w:p>
      <w:pPr>
        <w:pStyle w:val="ListBullet"/>
      </w:pPr>
      <w:r>
        <w:t>Facilitator portal with case queues.</w:t>
      </w:r>
    </w:p>
    <w:p>
      <w:pPr>
        <w:pStyle w:val="ListBullet"/>
      </w:pPr>
      <w:r>
        <w:t>User feedback loop for classification corrections.</w:t>
      </w:r>
    </w:p>
    <w:p>
      <w:pPr>
        <w:pStyle w:val="Heading2"/>
      </w:pPr>
      <w:r>
        <w:t>Out of Scope for MVP</w:t>
      </w:r>
    </w:p>
    <w:p>
      <w:pPr>
        <w:pStyle w:val="ListBullet"/>
      </w:pPr>
      <w:r>
        <w:t>Definitive legal opinions or representation.</w:t>
      </w:r>
    </w:p>
    <w:p>
      <w:pPr>
        <w:pStyle w:val="ListBullet"/>
      </w:pPr>
      <w:r>
        <w:t>Automated filing/submission of legal applications.</w:t>
      </w:r>
    </w:p>
    <w:p>
      <w:pPr>
        <w:pStyle w:val="ListBullet"/>
      </w:pPr>
      <w:r>
        <w:t>Guaranteed patentability opinions.</w:t>
      </w:r>
    </w:p>
    <w:p>
      <w:pPr>
        <w:pStyle w:val="ListBullet"/>
      </w:pPr>
      <w:r>
        <w:t>Medical diagnosis or personalised treatment advice.</w:t>
      </w:r>
    </w:p>
    <w:p>
      <w:pPr>
        <w:pStyle w:val="ListBullet"/>
      </w:pPr>
      <w:r>
        <w:t>Unverified scraping of private/restricted databases.</w:t>
      </w:r>
    </w:p>
    <w:p>
      <w:pPr>
        <w:pStyle w:val="ListBullet"/>
      </w:pPr>
      <w:r>
        <w:t>Replacing patent agents, lawyers or regulatory authorities.</w:t>
      </w:r>
    </w:p>
    <w:p>
      <w:pPr>
        <w:pStyle w:val="Heading1"/>
      </w:pPr>
      <w:r>
        <w:t>22. Sample Case</w:t>
      </w:r>
    </w:p>
    <w:p>
      <w:r>
        <w:t>Example: A startup wants to commercialise an Ayurvedic oral product containing a plant-derived ingredient, uses a formulation inspired by traditional knowledge, intends to sell in India and later export.</w:t>
      </w:r>
    </w:p>
    <w:p>
      <w:pPr>
        <w:pStyle w:val="ListBullet"/>
      </w:pPr>
      <w:r>
        <w:t>System asks: exact ingredients/source, claims, intended use, formulation source, manufacturing status and destination country.</w:t>
      </w:r>
    </w:p>
    <w:p>
      <w:pPr>
        <w:pStyle w:val="ListBullet"/>
      </w:pPr>
      <w:r>
        <w:t>Classifier determines candidate product category and highlights uncertainty.</w:t>
      </w:r>
    </w:p>
    <w:p>
      <w:pPr>
        <w:pStyle w:val="ListBullet"/>
      </w:pPr>
      <w:r>
        <w:t>IP router identifies potential patent/trademark/TK considerations.</w:t>
      </w:r>
    </w:p>
    <w:p>
      <w:pPr>
        <w:pStyle w:val="ListBullet"/>
      </w:pPr>
      <w:r>
        <w:t>TK helper checks available authorised evidence and points to relevant traditional-knowledge/prior-art material.</w:t>
      </w:r>
    </w:p>
    <w:p>
      <w:pPr>
        <w:pStyle w:val="ListBullet"/>
      </w:pPr>
      <w:r>
        <w:t>ABS helper asks source/biological-resource questions and routes to official biodiversity resources if triggered.</w:t>
      </w:r>
    </w:p>
    <w:p>
      <w:pPr>
        <w:pStyle w:val="ListBullet"/>
      </w:pPr>
      <w:r>
        <w:t>Regulatory router separates India drug/food pathways and shows why one may be relevant.</w:t>
      </w:r>
    </w:p>
    <w:p>
      <w:pPr>
        <w:pStyle w:val="ListBullet"/>
      </w:pPr>
      <w:r>
        <w:t>International view separately identifies destination-country/WIPO considerations.</w:t>
      </w:r>
    </w:p>
    <w:p>
      <w:pPr>
        <w:pStyle w:val="ListBullet"/>
      </w:pPr>
      <w:r>
        <w:t>Final answer contains citations, confidence, assumptions and a human-review option.</w:t>
      </w:r>
    </w:p>
    <w:p>
      <w:pPr>
        <w:pStyle w:val="Heading1"/>
      </w:pPr>
      <w:r>
        <w:t>23. Error &amp; Abuse Scenarios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Scenario</w:t>
            </w:r>
          </w:p>
        </w:tc>
        <w:tc>
          <w:tcPr>
            <w:tcW w:type="dxa" w:w="5112"/>
          </w:tcPr>
          <w:p>
            <w:r>
              <w:rPr>
                <w:b/>
              </w:rPr>
              <w:t>Expected behaviour</w:t>
            </w:r>
          </w:p>
        </w:tc>
      </w:tr>
      <w:tr>
        <w:tc>
          <w:tcPr>
            <w:tcW w:type="dxa" w:w="5112"/>
            <w:vAlign w:val="top"/>
          </w:tcPr>
          <w:p>
            <w:r>
              <w:t>User gives only product name</w:t>
            </w:r>
          </w:p>
        </w:tc>
        <w:tc>
          <w:tcPr>
            <w:tcW w:type="dxa" w:w="5112"/>
            <w:vAlign w:val="top"/>
          </w:tcPr>
          <w:p>
            <w:r>
              <w:t>Ask targeted clarification questions; do not infer final classification.</w:t>
            </w:r>
          </w:p>
        </w:tc>
      </w:tr>
      <w:tr>
        <w:tc>
          <w:tcPr>
            <w:tcW w:type="dxa" w:w="5112"/>
            <w:vAlign w:val="top"/>
          </w:tcPr>
          <w:p>
            <w:r>
              <w:t>Conflicting official sources</w:t>
            </w:r>
          </w:p>
        </w:tc>
        <w:tc>
          <w:tcPr>
            <w:tcW w:type="dxa" w:w="5112"/>
            <w:vAlign w:val="top"/>
          </w:tcPr>
          <w:p>
            <w:r>
              <w:t>Flag conflict, prefer current/effective authority, abstain from definitive conclusion if unresolved.</w:t>
            </w:r>
          </w:p>
        </w:tc>
      </w:tr>
      <w:tr>
        <w:tc>
          <w:tcPr>
            <w:tcW w:type="dxa" w:w="5112"/>
            <w:vAlign w:val="top"/>
          </w:tcPr>
          <w:p>
            <w:r>
              <w:t>Source is outdated</w:t>
            </w:r>
          </w:p>
        </w:tc>
        <w:tc>
          <w:tcPr>
            <w:tcW w:type="dxa" w:w="5112"/>
            <w:vAlign w:val="top"/>
          </w:tcPr>
          <w:p>
            <w:r>
              <w:t>De-prioritise or mark superseded; retrieve current source.</w:t>
            </w:r>
          </w:p>
        </w:tc>
      </w:tr>
      <w:tr>
        <w:tc>
          <w:tcPr>
            <w:tcW w:type="dxa" w:w="5112"/>
            <w:vAlign w:val="top"/>
          </w:tcPr>
          <w:p>
            <w:r>
              <w:t>No authoritative source found</w:t>
            </w:r>
          </w:p>
        </w:tc>
        <w:tc>
          <w:tcPr>
            <w:tcW w:type="dxa" w:w="5112"/>
            <w:vAlign w:val="top"/>
          </w:tcPr>
          <w:p>
            <w:r>
              <w:t>State inability to verify; do not fabricate citation.</w:t>
            </w:r>
          </w:p>
        </w:tc>
      </w:tr>
      <w:tr>
        <w:tc>
          <w:tcPr>
            <w:tcW w:type="dxa" w:w="5112"/>
            <w:vAlign w:val="top"/>
          </w:tcPr>
          <w:p>
            <w:r>
              <w:t>User asks for legal certainty</w:t>
            </w:r>
          </w:p>
        </w:tc>
        <w:tc>
          <w:tcPr>
            <w:tcW w:type="dxa" w:w="5112"/>
            <w:vAlign w:val="top"/>
          </w:tcPr>
          <w:p>
            <w:r>
              <w:t>Explain informational scope and recommend qualified professional review.</w:t>
            </w:r>
          </w:p>
        </w:tc>
      </w:tr>
      <w:tr>
        <w:tc>
          <w:tcPr>
            <w:tcW w:type="dxa" w:w="5112"/>
            <w:vAlign w:val="top"/>
          </w:tcPr>
          <w:p>
            <w:r>
              <w:t>User provides confidential formula</w:t>
            </w:r>
          </w:p>
        </w:tc>
        <w:tc>
          <w:tcPr>
            <w:tcW w:type="dxa" w:w="5112"/>
            <w:vAlign w:val="top"/>
          </w:tcPr>
          <w:p>
            <w:r>
              <w:t>Warn against unnecessary disclosure and minimise storage.</w:t>
            </w:r>
          </w:p>
        </w:tc>
      </w:tr>
      <w:tr>
        <w:tc>
          <w:tcPr>
            <w:tcW w:type="dxa" w:w="5112"/>
            <w:vAlign w:val="top"/>
          </w:tcPr>
          <w:p>
            <w:r>
              <w:t>Prompt injection in retrieved document</w:t>
            </w:r>
          </w:p>
        </w:tc>
        <w:tc>
          <w:tcPr>
            <w:tcW w:type="dxa" w:w="5112"/>
            <w:vAlign w:val="top"/>
          </w:tcPr>
          <w:p>
            <w:r>
              <w:t>Treat source text as evidence, not instructions.</w:t>
            </w:r>
          </w:p>
        </w:tc>
      </w:tr>
      <w:tr>
        <w:tc>
          <w:tcPr>
            <w:tcW w:type="dxa" w:w="5112"/>
            <w:vAlign w:val="top"/>
          </w:tcPr>
          <w:p>
            <w:r>
              <w:t>International law mixed with Indian law</w:t>
            </w:r>
          </w:p>
        </w:tc>
        <w:tc>
          <w:tcPr>
            <w:tcW w:type="dxa" w:w="5112"/>
            <w:vAlign w:val="top"/>
          </w:tcPr>
          <w:p>
            <w:r>
              <w:t>Keep jurisdiction sections visibly separated.</w:t>
            </w:r>
          </w:p>
        </w:tc>
      </w:tr>
      <w:tr>
        <w:tc>
          <w:tcPr>
            <w:tcW w:type="dxa" w:w="5112"/>
            <w:vAlign w:val="top"/>
          </w:tcPr>
          <w:p>
            <w:r>
              <w:t>High-risk regulatory decision</w:t>
            </w:r>
          </w:p>
        </w:tc>
        <w:tc>
          <w:tcPr>
            <w:tcW w:type="dxa" w:w="5112"/>
            <w:vAlign w:val="top"/>
          </w:tcPr>
          <w:p>
            <w:r>
              <w:t>Escalate to human facilitator.</w:t>
            </w:r>
          </w:p>
        </w:tc>
      </w:tr>
    </w:tbl>
    <w:p>
      <w:pPr>
        <w:pStyle w:val="Heading1"/>
      </w:pPr>
      <w:r>
        <w:t>24. Success Criteria for SIH Demo</w:t>
      </w:r>
    </w:p>
    <w:p>
      <w:pPr>
        <w:pStyle w:val="ListBullet"/>
      </w:pPr>
      <w:r>
        <w:t>A judge can enter one realistic Ayurvedic product case and receive a structured pathway in under a few minutes.</w:t>
      </w:r>
    </w:p>
    <w:p>
      <w:pPr>
        <w:pStyle w:val="ListBullet"/>
      </w:pPr>
      <w:r>
        <w:t>Every material legal/regulatory claim visibly points to an authoritative source.</w:t>
      </w:r>
    </w:p>
    <w:p>
      <w:pPr>
        <w:pStyle w:val="ListBullet"/>
      </w:pPr>
      <w:r>
        <w:t>India and international guidance are clearly separated.</w:t>
      </w:r>
    </w:p>
    <w:p>
      <w:pPr>
        <w:pStyle w:val="ListBullet"/>
      </w:pPr>
      <w:r>
        <w:t>The system explains why a regime is relevant rather than only naming a law.</w:t>
      </w:r>
    </w:p>
    <w:p>
      <w:pPr>
        <w:pStyle w:val="ListBullet"/>
      </w:pPr>
      <w:r>
        <w:t>The system demonstrates a safe abstention case instead of hallucinating.</w:t>
      </w:r>
    </w:p>
    <w:p>
      <w:pPr>
        <w:pStyle w:val="ListBullet"/>
      </w:pPr>
      <w:r>
        <w:t>The system demonstrates a multilingual query with preserved legal meaning.</w:t>
      </w:r>
    </w:p>
    <w:p>
      <w:pPr>
        <w:pStyle w:val="ListBullet"/>
      </w:pPr>
      <w:r>
        <w:t>The system demonstrates an ABS/TKDL helper and a human-escalation output.</w:t>
      </w:r>
    </w:p>
    <w:p>
      <w:pPr>
        <w:pStyle w:val="ListBullet"/>
      </w:pPr>
      <w:r>
        <w:t>The team can show source freshness/version tracking and an auditable retrieval trail.</w:t>
      </w:r>
    </w:p>
    <w:p>
      <w:pPr>
        <w:pStyle w:val="Heading1"/>
      </w:pPr>
      <w:r>
        <w:t>25. Suggested Demo Flow</w:t>
      </w:r>
    </w:p>
    <w:p>
      <w:pPr>
        <w:pStyle w:val="ListNumber"/>
      </w:pPr>
      <w:r>
        <w:t>1. Enter: “I want to launch an Ayurvedic oral product containing [plant], based partly on a classical formulation, in India and later export it.”</w:t>
      </w:r>
    </w:p>
    <w:p>
      <w:pPr>
        <w:pStyle w:val="ListNumber"/>
      </w:pPr>
      <w:r>
        <w:t>2. Show guided clarifying questions.</w:t>
      </w:r>
    </w:p>
    <w:p>
      <w:pPr>
        <w:pStyle w:val="ListNumber"/>
      </w:pPr>
      <w:r>
        <w:t>3. Show product classification with rationale.</w:t>
      </w:r>
    </w:p>
    <w:p>
      <w:pPr>
        <w:pStyle w:val="ListNumber"/>
      </w:pPr>
      <w:r>
        <w:t>4. Show IP + TK + ABS + regulatory applicability map.</w:t>
      </w:r>
    </w:p>
    <w:p>
      <w:pPr>
        <w:pStyle w:val="ListNumber"/>
      </w:pPr>
      <w:r>
        <w:t>5. Toggle India → International and show clearly separate evidence.</w:t>
      </w:r>
    </w:p>
    <w:p>
      <w:pPr>
        <w:pStyle w:val="ListNumber"/>
      </w:pPr>
      <w:r>
        <w:t>6. Open one citation and show the exact official source passage.</w:t>
      </w:r>
    </w:p>
    <w:p>
      <w:pPr>
        <w:pStyle w:val="ListNumber"/>
      </w:pPr>
      <w:r>
        <w:t>7. Ask an ambiguous question and demonstrate safe abstention.</w:t>
      </w:r>
    </w:p>
    <w:p>
      <w:pPr>
        <w:pStyle w:val="ListNumber"/>
      </w:pPr>
      <w:r>
        <w:t>8. Switch language and demonstrate multilingual output.</w:t>
      </w:r>
    </w:p>
    <w:p>
      <w:pPr>
        <w:pStyle w:val="ListNumber"/>
      </w:pPr>
      <w:r>
        <w:t>9. Escalate the case and show the structured human-facilitator brief.</w:t>
      </w:r>
    </w:p>
    <w:p>
      <w:pPr>
        <w:pStyle w:val="Heading1"/>
      </w:pPr>
      <w:r>
        <w:t>26. Recommended Technology Stack</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Layer</w:t>
            </w:r>
          </w:p>
        </w:tc>
        <w:tc>
          <w:tcPr>
            <w:tcW w:type="dxa" w:w="5112"/>
          </w:tcPr>
          <w:p>
            <w:r>
              <w:rPr>
                <w:b/>
              </w:rPr>
              <w:t>Suggested technology</w:t>
            </w:r>
          </w:p>
        </w:tc>
      </w:tr>
      <w:tr>
        <w:tc>
          <w:tcPr>
            <w:tcW w:type="dxa" w:w="5112"/>
            <w:vAlign w:val="top"/>
          </w:tcPr>
          <w:p>
            <w:r>
              <w:t>Frontend</w:t>
            </w:r>
          </w:p>
        </w:tc>
        <w:tc>
          <w:tcPr>
            <w:tcW w:type="dxa" w:w="5112"/>
            <w:vAlign w:val="top"/>
          </w:tcPr>
          <w:p>
            <w:r>
              <w:t>Next.js / React + responsive UI</w:t>
            </w:r>
          </w:p>
        </w:tc>
      </w:tr>
      <w:tr>
        <w:tc>
          <w:tcPr>
            <w:tcW w:type="dxa" w:w="5112"/>
            <w:vAlign w:val="top"/>
          </w:tcPr>
          <w:p>
            <w:r>
              <w:t>Backend</w:t>
            </w:r>
          </w:p>
        </w:tc>
        <w:tc>
          <w:tcPr>
            <w:tcW w:type="dxa" w:w="5112"/>
            <w:vAlign w:val="top"/>
          </w:tcPr>
          <w:p>
            <w:r>
              <w:t>FastAPI / Python</w:t>
            </w:r>
          </w:p>
        </w:tc>
      </w:tr>
      <w:tr>
        <w:tc>
          <w:tcPr>
            <w:tcW w:type="dxa" w:w="5112"/>
            <w:vAlign w:val="top"/>
          </w:tcPr>
          <w:p>
            <w:r>
              <w:t>LLM</w:t>
            </w:r>
          </w:p>
        </w:tc>
        <w:tc>
          <w:tcPr>
            <w:tcW w:type="dxa" w:w="5112"/>
            <w:vAlign w:val="top"/>
          </w:tcPr>
          <w:p>
            <w:r>
              <w:t>Enterprise-grade LLM with structured-output support</w:t>
            </w:r>
          </w:p>
        </w:tc>
      </w:tr>
      <w:tr>
        <w:tc>
          <w:tcPr>
            <w:tcW w:type="dxa" w:w="5112"/>
            <w:vAlign w:val="top"/>
          </w:tcPr>
          <w:p>
            <w:r>
              <w:t>Embeddings</w:t>
            </w:r>
          </w:p>
        </w:tc>
        <w:tc>
          <w:tcPr>
            <w:tcW w:type="dxa" w:w="5112"/>
            <w:vAlign w:val="top"/>
          </w:tcPr>
          <w:p>
            <w:r>
              <w:t>Multilingual embedding model</w:t>
            </w:r>
          </w:p>
        </w:tc>
      </w:tr>
      <w:tr>
        <w:tc>
          <w:tcPr>
            <w:tcW w:type="dxa" w:w="5112"/>
            <w:vAlign w:val="top"/>
          </w:tcPr>
          <w:p>
            <w:r>
              <w:t>Vector DB</w:t>
            </w:r>
          </w:p>
        </w:tc>
        <w:tc>
          <w:tcPr>
            <w:tcW w:type="dxa" w:w="5112"/>
            <w:vAlign w:val="top"/>
          </w:tcPr>
          <w:p>
            <w:r>
              <w:t>pgvector / Qdrant / Elasticsearch depending on deployment constraints</w:t>
            </w:r>
          </w:p>
        </w:tc>
      </w:tr>
      <w:tr>
        <w:tc>
          <w:tcPr>
            <w:tcW w:type="dxa" w:w="5112"/>
            <w:vAlign w:val="top"/>
          </w:tcPr>
          <w:p>
            <w:r>
              <w:t>Lexical Search</w:t>
            </w:r>
          </w:p>
        </w:tc>
        <w:tc>
          <w:tcPr>
            <w:tcW w:type="dxa" w:w="5112"/>
            <w:vAlign w:val="top"/>
          </w:tcPr>
          <w:p>
            <w:r>
              <w:t>OpenSearch / Elasticsearch / PostgreSQL FTS</w:t>
            </w:r>
          </w:p>
        </w:tc>
      </w:tr>
      <w:tr>
        <w:tc>
          <w:tcPr>
            <w:tcW w:type="dxa" w:w="5112"/>
            <w:vAlign w:val="top"/>
          </w:tcPr>
          <w:p>
            <w:r>
              <w:t>Reranking</w:t>
            </w:r>
          </w:p>
        </w:tc>
        <w:tc>
          <w:tcPr>
            <w:tcW w:type="dxa" w:w="5112"/>
            <w:vAlign w:val="top"/>
          </w:tcPr>
          <w:p>
            <w:r>
              <w:t>Cross-encoder or managed reranker</w:t>
            </w:r>
          </w:p>
        </w:tc>
      </w:tr>
      <w:tr>
        <w:tc>
          <w:tcPr>
            <w:tcW w:type="dxa" w:w="5112"/>
            <w:vAlign w:val="top"/>
          </w:tcPr>
          <w:p>
            <w:r>
              <w:t>Rules</w:t>
            </w:r>
          </w:p>
        </w:tc>
        <w:tc>
          <w:tcPr>
            <w:tcW w:type="dxa" w:w="5112"/>
            <w:vAlign w:val="top"/>
          </w:tcPr>
          <w:p>
            <w:r>
              <w:t>Python rule engine / JSON rules / Drools-like approach</w:t>
            </w:r>
          </w:p>
        </w:tc>
      </w:tr>
      <w:tr>
        <w:tc>
          <w:tcPr>
            <w:tcW w:type="dxa" w:w="5112"/>
            <w:vAlign w:val="top"/>
          </w:tcPr>
          <w:p>
            <w:r>
              <w:t>Knowledge Graph</w:t>
            </w:r>
          </w:p>
        </w:tc>
        <w:tc>
          <w:tcPr>
            <w:tcW w:type="dxa" w:w="5112"/>
            <w:vAlign w:val="top"/>
          </w:tcPr>
          <w:p>
            <w:r>
              <w:t>Neo4j or PostgreSQL graph-style relational model</w:t>
            </w:r>
          </w:p>
        </w:tc>
      </w:tr>
      <w:tr>
        <w:tc>
          <w:tcPr>
            <w:tcW w:type="dxa" w:w="5112"/>
            <w:vAlign w:val="top"/>
          </w:tcPr>
          <w:p>
            <w:r>
              <w:t>Database</w:t>
            </w:r>
          </w:p>
        </w:tc>
        <w:tc>
          <w:tcPr>
            <w:tcW w:type="dxa" w:w="5112"/>
            <w:vAlign w:val="top"/>
          </w:tcPr>
          <w:p>
            <w:r>
              <w:t>PostgreSQL</w:t>
            </w:r>
          </w:p>
        </w:tc>
      </w:tr>
      <w:tr>
        <w:tc>
          <w:tcPr>
            <w:tcW w:type="dxa" w:w="5112"/>
            <w:vAlign w:val="top"/>
          </w:tcPr>
          <w:p>
            <w:r>
              <w:t>Document Processing</w:t>
            </w:r>
          </w:p>
        </w:tc>
        <w:tc>
          <w:tcPr>
            <w:tcW w:type="dxa" w:w="5112"/>
            <w:vAlign w:val="top"/>
          </w:tcPr>
          <w:p>
            <w:r>
              <w:t>OCR + PDF parsing + section-aware chunking</w:t>
            </w:r>
          </w:p>
        </w:tc>
      </w:tr>
      <w:tr>
        <w:tc>
          <w:tcPr>
            <w:tcW w:type="dxa" w:w="5112"/>
            <w:vAlign w:val="top"/>
          </w:tcPr>
          <w:p>
            <w:r>
              <w:t>Observability</w:t>
            </w:r>
          </w:p>
        </w:tc>
        <w:tc>
          <w:tcPr>
            <w:tcW w:type="dxa" w:w="5112"/>
            <w:vAlign w:val="top"/>
          </w:tcPr>
          <w:p>
            <w:r>
              <w:t>OpenTelemetry + structured audit logs</w:t>
            </w:r>
          </w:p>
        </w:tc>
      </w:tr>
      <w:tr>
        <w:tc>
          <w:tcPr>
            <w:tcW w:type="dxa" w:w="5112"/>
            <w:vAlign w:val="top"/>
          </w:tcPr>
          <w:p>
            <w:r>
              <w:t>Auth</w:t>
            </w:r>
          </w:p>
        </w:tc>
        <w:tc>
          <w:tcPr>
            <w:tcW w:type="dxa" w:w="5112"/>
            <w:vAlign w:val="top"/>
          </w:tcPr>
          <w:p>
            <w:r>
              <w:t>OIDC/OAuth2 + RBAC</w:t>
            </w:r>
          </w:p>
        </w:tc>
      </w:tr>
      <w:tr>
        <w:tc>
          <w:tcPr>
            <w:tcW w:type="dxa" w:w="5112"/>
            <w:vAlign w:val="top"/>
          </w:tcPr>
          <w:p>
            <w:r>
              <w:t>Language</w:t>
            </w:r>
          </w:p>
        </w:tc>
        <w:tc>
          <w:tcPr>
            <w:tcW w:type="dxa" w:w="5112"/>
            <w:vAlign w:val="top"/>
          </w:tcPr>
          <w:p>
            <w:r>
              <w:t>Bhashini or approved multilingual speech/translation services where appropriate</w:t>
            </w:r>
          </w:p>
        </w:tc>
      </w:tr>
    </w:tbl>
    <w:p>
      <w:pPr>
        <w:pStyle w:val="Heading1"/>
      </w:pPr>
      <w:r>
        <w:t>27. Risks &amp; Mitigations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Risk</w:t>
            </w:r>
          </w:p>
        </w:tc>
        <w:tc>
          <w:tcPr>
            <w:tcW w:type="dxa" w:w="5112"/>
          </w:tcPr>
          <w:p>
            <w:r>
              <w:rPr>
                <w:b/>
              </w:rPr>
              <w:t>Mitigation</w:t>
            </w:r>
          </w:p>
        </w:tc>
      </w:tr>
      <w:tr>
        <w:tc>
          <w:tcPr>
            <w:tcW w:type="dxa" w:w="5112"/>
            <w:vAlign w:val="top"/>
          </w:tcPr>
          <w:p>
            <w:r>
              <w:t>Hallucination</w:t>
            </w:r>
          </w:p>
        </w:tc>
        <w:tc>
          <w:tcPr>
            <w:tcW w:type="dxa" w:w="5112"/>
            <w:vAlign w:val="top"/>
          </w:tcPr>
          <w:p>
            <w:r>
              <w:t>Hybrid RAG + evidence verification + mandatory citations + abstention.</w:t>
            </w:r>
          </w:p>
        </w:tc>
      </w:tr>
      <w:tr>
        <w:tc>
          <w:tcPr>
            <w:tcW w:type="dxa" w:w="5112"/>
            <w:vAlign w:val="top"/>
          </w:tcPr>
          <w:p>
            <w:r>
              <w:t>Legal source changes</w:t>
            </w:r>
          </w:p>
        </w:tc>
        <w:tc>
          <w:tcPr>
            <w:tcW w:type="dxa" w:w="5112"/>
            <w:vAlign w:val="top"/>
          </w:tcPr>
          <w:p>
            <w:r>
              <w:t>Versioned corpus + effective dates + monitoring + human review.</w:t>
            </w:r>
          </w:p>
        </w:tc>
      </w:tr>
      <w:tr>
        <w:tc>
          <w:tcPr>
            <w:tcW w:type="dxa" w:w="5112"/>
            <w:vAlign w:val="top"/>
          </w:tcPr>
          <w:p>
            <w:r>
              <w:t>Wrong product classification</w:t>
            </w:r>
          </w:p>
        </w:tc>
        <w:tc>
          <w:tcPr>
            <w:tcW w:type="dxa" w:w="5112"/>
            <w:vAlign w:val="top"/>
          </w:tcPr>
          <w:p>
            <w:r>
              <w:t>Structured intake + deterministic rules + confidence + correction loop.</w:t>
            </w:r>
          </w:p>
        </w:tc>
      </w:tr>
      <w:tr>
        <w:tc>
          <w:tcPr>
            <w:tcW w:type="dxa" w:w="5112"/>
            <w:vAlign w:val="top"/>
          </w:tcPr>
          <w:p>
            <w:r>
              <w:t>Overconfidence</w:t>
            </w:r>
          </w:p>
        </w:tc>
        <w:tc>
          <w:tcPr>
            <w:tcW w:type="dxa" w:w="5112"/>
            <w:vAlign w:val="top"/>
          </w:tcPr>
          <w:p>
            <w:r>
              <w:t>Confidence indicator + assumptions + escalation.</w:t>
            </w:r>
          </w:p>
        </w:tc>
      </w:tr>
      <w:tr>
        <w:tc>
          <w:tcPr>
            <w:tcW w:type="dxa" w:w="5112"/>
            <w:vAlign w:val="top"/>
          </w:tcPr>
          <w:p>
            <w:r>
              <w:t>Translation changes legal meaning</w:t>
            </w:r>
          </w:p>
        </w:tc>
        <w:tc>
          <w:tcPr>
            <w:tcW w:type="dxa" w:w="5112"/>
            <w:vAlign w:val="top"/>
          </w:tcPr>
          <w:p>
            <w:r>
              <w:t>Terminology glossary + bilingual legal anchors + human evaluation.</w:t>
            </w:r>
          </w:p>
        </w:tc>
      </w:tr>
      <w:tr>
        <w:tc>
          <w:tcPr>
            <w:tcW w:type="dxa" w:w="5112"/>
            <w:vAlign w:val="top"/>
          </w:tcPr>
          <w:p>
            <w:r>
              <w:t>Sensitive data exposure</w:t>
            </w:r>
          </w:p>
        </w:tc>
        <w:tc>
          <w:tcPr>
            <w:tcW w:type="dxa" w:w="5112"/>
            <w:vAlign w:val="top"/>
          </w:tcPr>
          <w:p>
            <w:r>
              <w:t>Data minimisation + encryption + retention controls.</w:t>
            </w:r>
          </w:p>
        </w:tc>
      </w:tr>
      <w:tr>
        <w:tc>
          <w:tcPr>
            <w:tcW w:type="dxa" w:w="5112"/>
            <w:vAlign w:val="top"/>
          </w:tcPr>
          <w:p>
            <w:r>
              <w:t>Source licensing/access restrictions</w:t>
            </w:r>
          </w:p>
        </w:tc>
        <w:tc>
          <w:tcPr>
            <w:tcW w:type="dxa" w:w="5112"/>
            <w:vAlign w:val="top"/>
          </w:tcPr>
          <w:p>
            <w:r>
              <w:t>Use only authorised/publicly permitted sources and record access rights.</w:t>
            </w:r>
          </w:p>
        </w:tc>
      </w:tr>
      <w:tr>
        <w:tc>
          <w:tcPr>
            <w:tcW w:type="dxa" w:w="5112"/>
            <w:vAlign w:val="top"/>
          </w:tcPr>
          <w:p>
            <w:r>
              <w:t>Jurisdiction confusion</w:t>
            </w:r>
          </w:p>
        </w:tc>
        <w:tc>
          <w:tcPr>
            <w:tcW w:type="dxa" w:w="5112"/>
            <w:vAlign w:val="top"/>
          </w:tcPr>
          <w:p>
            <w:r>
              <w:t>Explicit jurisdiction state in retrieval metadata and answer schema.</w:t>
            </w:r>
          </w:p>
        </w:tc>
      </w:tr>
      <w:tr>
        <w:tc>
          <w:tcPr>
            <w:tcW w:type="dxa" w:w="5112"/>
            <w:vAlign w:val="top"/>
          </w:tcPr>
          <w:p>
            <w:r>
              <w:t>Adversarial prompt injection</w:t>
            </w:r>
          </w:p>
        </w:tc>
        <w:tc>
          <w:tcPr>
            <w:tcW w:type="dxa" w:w="5112"/>
            <w:vAlign w:val="top"/>
          </w:tcPr>
          <w:p>
            <w:r>
              <w:t>Treat retrieved content as untrusted data and enforce system-level retrieval/answer policies.</w:t>
            </w:r>
          </w:p>
        </w:tc>
      </w:tr>
    </w:tbl>
    <w:p>
      <w:pPr>
        <w:pStyle w:val="Heading1"/>
      </w:pPr>
      <w:r>
        <w:t>28. Source-of-Truth Policy</w:t>
      </w:r>
    </w:p>
    <w:p>
      <w:r>
        <w:t>The system should rank primary official sources above secondary commentary. Where possible, the corpus should prefer statutes/rules/official notifications, official authority guidance, official registries and treaty text. Secondary sources may be used for explanation but should not silently override a primary source. The UI should display source authority, date and status so the user can independently verify the information.</w:t>
      </w:r>
    </w:p>
    <w:p>
      <w:pPr>
        <w:pStyle w:val="Heading1"/>
      </w:pPr>
      <w:r>
        <w:t>29. Authoritative Reference Base Used for PRD Design</w:t>
      </w:r>
    </w:p>
    <w:p>
      <w:r>
        <w:rPr>
          <w:b/>
        </w:rPr>
        <w:t xml:space="preserve">TKDL – About / General Information / Source Information: </w:t>
      </w:r>
      <w:r>
        <w:t>https://www.tkdl.res.in/</w:t>
      </w:r>
    </w:p>
    <w:p>
      <w:r>
        <w:rPr>
          <w:b/>
        </w:rPr>
        <w:t xml:space="preserve">IP India – Patent Resources &amp; Guidelines: </w:t>
      </w:r>
      <w:r>
        <w:t>https://ipindia.gov.in/resource/patents-resources-guidelines</w:t>
      </w:r>
    </w:p>
    <w:p>
      <w:r>
        <w:rPr>
          <w:b/>
        </w:rPr>
        <w:t xml:space="preserve">WIPO – Traditional Knowledge: </w:t>
      </w:r>
      <w:r>
        <w:t>https://www.wipo.int/en/web/traditional-knowledge</w:t>
      </w:r>
    </w:p>
    <w:p>
      <w:r>
        <w:rPr>
          <w:b/>
        </w:rPr>
        <w:t xml:space="preserve">WIPO – GRATK Treaty Resource Center: </w:t>
      </w:r>
      <w:r>
        <w:t>https://www.wipo.int/en/web/traditional-knowledge/wipo-treaty-on-ip-gr-and-associated-tk</w:t>
      </w:r>
    </w:p>
    <w:p>
      <w:r>
        <w:rPr>
          <w:b/>
        </w:rPr>
        <w:t xml:space="preserve">WIPO Lex – GRATK Treaty Text: </w:t>
      </w:r>
      <w:r>
        <w:t>https://www.wipo.int/wipolex/en/treaties/textdetails/19849</w:t>
      </w:r>
    </w:p>
    <w:p>
      <w:r>
        <w:rPr>
          <w:b/>
        </w:rPr>
        <w:t xml:space="preserve">National Biodiversity Authority: </w:t>
      </w:r>
      <w:r>
        <w:t>https://nbaindia.org/</w:t>
      </w:r>
    </w:p>
    <w:p>
      <w:r>
        <w:rPr>
          <w:b/>
        </w:rPr>
        <w:t xml:space="preserve">FSSAI – Food Regulations: </w:t>
      </w:r>
      <w:r>
        <w:t>https://www.fssai.gov.in/food-law/regulations</w:t>
      </w:r>
    </w:p>
    <w:p>
      <w:r>
        <w:rPr>
          <w:b/>
        </w:rPr>
        <w:t xml:space="preserve">FSSAI – Ayurveda Aahara Regulations: </w:t>
      </w:r>
      <w:r>
        <w:t>https://fssai.gov.in/upload/notifications/2022/05/62789a20b54bdGazette_Notification_Ayurveda_Aahara_09_05_2022.pdf</w:t>
      </w:r>
    </w:p>
    <w:p>
      <w:r>
        <w:rPr>
          <w:b/>
        </w:rPr>
        <w:t xml:space="preserve">CDSCO – Traditional Drugs: </w:t>
      </w:r>
      <w:r>
        <w:t>https://www.cdsco.gov.in/opencms/opencms/en/Traditional_Drugs/</w:t>
      </w:r>
    </w:p>
    <w:p>
      <w:r>
        <w:rPr>
          <w:b/>
        </w:rPr>
        <w:t xml:space="preserve">Ministry of AYUSH – Drugs &amp; Cosmetics Rules resource: </w:t>
      </w:r>
      <w:r>
        <w:t>https://ayush.gov.in/resources/pdf/quality_standards/Drugs-and-Cosmetics-Act-Rules.pdf</w:t>
      </w:r>
    </w:p>
    <w:p>
      <w:pPr>
        <w:pStyle w:val="Heading1"/>
      </w:pPr>
      <w:r>
        <w:t>30. Disclaimer</w:t>
      </w:r>
    </w:p>
    <w:p>
      <w:r>
        <w:t>IP-SAKTI Sahayak provides informational and research assistance based on the sources available in its curated corpus. It is not a lawyer, patent agent, regulatory authority, medical professional or substitute for professional legal/regulatory advice. Users should independently verify current requirements and consult qualified professionals or competent authorities for consequential decisions.</w:t>
      </w:r>
    </w:p>
    <w:p>
      <w:pPr>
        <w:pStyle w:val="Heading1"/>
      </w:pPr>
      <w:r>
        <w:t>31. Final Product Statement</w:t>
      </w:r>
    </w:p>
    <w:p>
      <w:r>
        <w:rPr>
          <w:b/>
        </w:rPr>
        <w:t>“Hum ek generic legal chatbot nahi bana rahe. Hum ek case-aware Ayurvedic Legal &amp; IP Navigator bana rahe hain jo pehle user ke product ko samajhta hai, phir determine karta hai ki kaun-se IP, Traditional Knowledge, ABS aur regulatory regimes relevant hain, authoritative sources se evidence retrieve karta hai, har important claim ko verify karta hai, user ko ‘why this applies’ ke saath structured guidance deta hai, aur uncertainty ya high-risk cases mein human expert tak escalate karta hai.”</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IP-SAKTI Sahayak — SIH PRD | Informational guidance,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