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NarcWare</w:t>
      </w:r>
    </w:p>
    <w:p>
      <w:pPr>
        <w:spacing w:after="240"/>
      </w:pPr>
      <w:r>
        <w:rPr>
          <w:i/>
          <w:iCs/>
          <w:color w:val="444444"/>
          <w:sz w:val="24"/>
          <w:szCs w:val="24"/>
        </w:rPr>
        <w:t xml:space="preserve">Technical Requirements Document (TRD)</w:t>
      </w:r>
    </w:p>
    <w:p>
      <w:pPr>
        <w:spacing w:after="120"/>
      </w:pPr>
      <w:r>
        <w:t xml:space="preserve">Privacy-Preserving Multi-Domain Intelligence Platform</w:t>
      </w:r>
    </w:p>
    <w:p>
      <w:pPr>
        <w:spacing w:after="80"/>
      </w:pPr>
      <w:r>
        <w:rPr>
          <w:b/>
          <w:bCs/>
        </w:rPr>
        <w:t xml:space="preserve">Version:</w:t>
      </w:r>
      <w:r>
        <w:t xml:space="preserve"> 2.0</w:t>
      </w:r>
    </w:p>
    <w:p>
      <w:pPr>
        <w:spacing w:after="80"/>
      </w:pPr>
      <w:r>
        <w:rPr>
          <w:b/>
          <w:bCs/>
        </w:rPr>
        <w:t xml:space="preserve">Companion document:</w:t>
      </w:r>
      <w:r>
        <w:t xml:space="preserve"> NarcWare_FRD.docx</w:t>
      </w:r>
    </w:p>
    <w:p>
      <w:pPr>
        <w:spacing w:after="80"/>
      </w:pPr>
      <w:r>
        <w:rPr>
          <w:b/>
          <w:bCs/>
        </w:rPr>
        <w:t xml:space="preserve">Domains covered:</w:t>
      </w:r>
      <w:r>
        <w:t xml:space="preserve"> Drug Trafficking · Exam Paper Leaks · Financial/Investment Scams · Job/Recruitment Fraud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20"/>
      </w:pPr>
      <w:r>
        <w:t xml:space="preserve">1. Architecture Overview</w:t>
      </w:r>
    </w:p>
    <w:p>
      <w:pPr>
        <w:spacing w:after="120"/>
      </w:pPr>
      <w:r>
        <w:t xml:space="preserve">Layered pipeline, domain-agnostic core with domain-specific classifiers plugged in at the AI layer:</w:t>
      </w:r>
    </w:p>
    <w:p>
      <w:pPr>
        <w:spacing w:after="120"/>
      </w:pPr>
      <w:r>
        <w:t xml:space="preserve">Protected/Authorized Data Source (real or simulated local layer)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Ingestion API (domain-tagged: trafficking | paper_leak | financial_scam | job_fraud)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AI/NLP Service (classification, NER, embeddings, OCR + perceptual hash)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Explainable Risk Engine (domain-weighted scoring, time-decay for leaks/scams)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Graph + Semantic Similarity Analysis (Neo4j) — including cross-domain entity links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Human Review Queue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Evidence Vault (encrypted off-chain) + Blockchain Hash Ledger (on-chain)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Case Management + Audit Trail + Analytics Dashboard</w:t>
      </w:r>
    </w:p>
    <w:p>
      <w:pPr>
        <w:pStyle w:val="Heading1"/>
        <w:spacing w:after="160" w:before="320"/>
      </w:pPr>
      <w:r>
        <w:t xml:space="preserve">2.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React.js, Tailwind/Bootstrap, Recharts/Chart.js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Dashboard, alert queue, graph view, case pages, domain filters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Java Spring Boot (or Node.js/Express)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APIs, auth, business logic, RBAC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Service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+ FastAPI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NLP inference, entity extraction, OCR, perceptual hashing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DB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/ MySQL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Users, cases, alerts, metadata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Graph DB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Neo4j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Account/entity/case relationships, cross-domain links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Vector DB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FAISS / pgvector / Chroma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Semantic similarity search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Blockchain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Solidity smart contract on EVM testnet (e.g., Polygon Amoy) or Hyperledger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Evidence hash + timestamp ledger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Object Storage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Encrypted local/object storage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Off-chain authorized evidence files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JWT + OAuth 2.0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Role-based access control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DevOps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Docker, GitHub Actions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Containerized services, reproducible deployment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3. Data Model (Core Entities)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</w:t>
      </w:r>
      <w:r>
        <w:t xml:space="preserve">: id, domain (enum: trafficking | paper_leak | financial_scam | job_fraud), source, raw_text, media_ref, ingested_at, authorization_ref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Entity</w:t>
      </w:r>
      <w:r>
        <w:t xml:space="preserve">: id, type (username | link | payment_ref | exam_name | exam_date | employer_name | return_pct | deadline | location | quantity), value, record_id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RiskScore</w:t>
      </w:r>
      <w:r>
        <w:t xml:space="preserve">: record_id, score, confidence, reason_codes[], model_version, computed_at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Case</w:t>
      </w:r>
      <w:r>
        <w:t xml:space="preserve">: id, domain, status, priority_score, assigned_reviewer, created_at, closed_at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CaseRecordLink</w:t>
      </w:r>
      <w:r>
        <w:t xml:space="preserve">: case_id, record_id, similarity_score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EvidenceHash</w:t>
      </w:r>
      <w:r>
        <w:t xml:space="preserve">: evidence_id, sha256_hash, tx_hash, block_timestamp, case_id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AuditLogEntry</w:t>
      </w:r>
      <w:r>
        <w:t xml:space="preserve">: actor_id, action, target_id,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GraphNode / GraphEdge</w:t>
      </w:r>
      <w:r>
        <w:t xml:space="preserve"> (Neo4j): Account, Channel, Case nodes; MENTIONS, LINKED_TO, MIRRORS, SHARES_PAYMENT_HANDLE edge types (the last enables cross-domain linkage, e.g. same handle in a scam and a job-fraud post)</w:t>
      </w:r>
    </w:p>
    <w:p>
      <w:pPr>
        <w:pStyle w:val="Heading1"/>
        <w:spacing w:after="160" w:before="320"/>
      </w:pPr>
      <w:r>
        <w:t xml:space="preserve">4. AI/ML Pipeline Design</w:t>
      </w:r>
    </w:p>
    <w:p>
      <w:pPr>
        <w:pStyle w:val="Heading2"/>
        <w:spacing w:after="120" w:before="240"/>
      </w:pPr>
      <w:r>
        <w:t xml:space="preserve">4.1 Text Classification (per domain)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transformer-based encoder (e.g., a lightweight multilingual model) with </w:t>
      </w:r>
      <w:r>
        <w:rPr>
          <w:b/>
          <w:bCs/>
        </w:rPr>
        <w:t xml:space="preserve">four classification heads</w:t>
      </w:r>
      <w:r>
        <w:t xml:space="preserve">, one per domain: trafficking-indicator labels, paper-leak-indicator labels, financial-scam-indicator labels (guaranteed returns, urgency, unregistered scheme language), job-fraud-indicator labels (advance-fee requests, unverified employer claims)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calibrated probability per category + top contributing tokens/phrases for 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routing decided at ingestion tag or auto-detected via a lightweight domain classifier run first</w:t>
      </w:r>
    </w:p>
    <w:p>
      <w:pPr>
        <w:pStyle w:val="Heading2"/>
        <w:spacing w:after="120" w:before="240"/>
      </w:pPr>
      <w:r>
        <w:t xml:space="preserve">4.2 Entity Extraction (NER)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Rule-based regex for structured entities (payment handles, dates, phone-like patterns, percentage figures)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Transformer NER model for unstructured entities (locations, names, exam/employer references)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Domain-specific gazetteers: trafficking slang/coded-term list; exam name/board list (NEET, JEE, UPSC, state boards); known scam-scheme keyword list; common fake-recruiter/company-impersonation patterns</w:t>
      </w:r>
    </w:p>
    <w:p>
      <w:pPr>
        <w:pStyle w:val="Heading2"/>
        <w:spacing w:after="120" w:before="240"/>
      </w:pPr>
      <w:r>
        <w:t xml:space="preserve">4.3 Semantic Similarity &amp; Clustering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Sentence embeddings (e.g., sentence-transformers) → stored in vector 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Approximate nearest-neighbor search to cluster related records into a case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Clustering threshold tuned separately per domain (leak reposts and scam scripts tend to be near-verbatim; trafficking and job-fraud phrasing varies more)</w:t>
      </w:r>
    </w:p>
    <w:p>
      <w:pPr>
        <w:pStyle w:val="Heading2"/>
        <w:spacing w:after="120" w:before="240"/>
      </w:pPr>
      <w:r>
        <w:t xml:space="preserve">4.4 Image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 (e.g., Tesseract or a cloud OCR API) to extract text from uploaded exam-sheet images, fake offer letters, and fake broker/scheme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Perceptual hashing (pHash/aHash) to detect the same image across crops, rotations, watermarks, compression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Duplicate-image graph: any two images within a Hamming-distance threshold are linked as "same source" in Neo4j, regardless of domain</w:t>
      </w:r>
    </w:p>
    <w:p>
      <w:pPr>
        <w:pStyle w:val="Heading2"/>
        <w:spacing w:after="120" w:before="240"/>
      </w:pPr>
      <w:r>
        <w:t xml:space="preserve">4.5 Risk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Weighted sum: score = w1*text_signal + w2*entity_signal + w3*graph_signal + w4*similarity_signal (+ w5*time_decay for leaks/scams)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Weights tuned per domain on labeled synthetic evaluation 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Time-decay function: priority multiplier increases as deadline - now shrinks (exam date for leaks; stated investment/urgency deadline for scams)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always shipped with reason codes; UI must never render score alone without reasons</w:t>
      </w:r>
    </w:p>
    <w:p>
      <w:pPr>
        <w:pStyle w:val="Heading1"/>
        <w:spacing w:after="160" w:before="320"/>
      </w:pPr>
      <w:r>
        <w:t xml:space="preserve">5. Blockchain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contract stores: evidenceHash (bytes32), timestamp (uint256), caseId (string), domain (string), submitter (address)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Flow: evidence file → SHA-256 → encrypt &amp; store off-chain → submit hash tx → dashboard reads tx receipt for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Verification: on-demand re-hash of stored file, compare to on-chain value, return MATCH/CHANGED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raw message content or personal data ever written on-chain — hash and minimal case metadata only</w:t>
      </w:r>
    </w:p>
    <w:p>
      <w:pPr>
        <w:pStyle w:val="Heading1"/>
        <w:spacing w:after="160" w:before="320"/>
      </w:pPr>
      <w:r>
        <w:t xml:space="preserve">6. API Design (representative endpoints)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/api/ingest — submit authorized record (text/media), tagged by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/api/alerts?domain=&amp;status= — alert queue, filterable by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/api/cases/{id} — case detail incl. entities, graph refs, similar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/api/cases/{id}/review — reviewer submits outcome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/api/evidence/{id}/hash — anchor evidence hash on-chain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/api/evidence/{id}/verify — re-hash and compare to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/api/graph/{caseId} — relationship graph data for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/api/analytics/summary?domain= — dashboard aggregate metrics, per domain or combined</w:t>
      </w:r>
    </w:p>
    <w:p>
      <w:pPr>
        <w:pStyle w:val="Heading1"/>
        <w:spacing w:after="160" w:before="320"/>
      </w:pPr>
      <w:r>
        <w:t xml:space="preserve">7. Security &amp; Privacy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in transit, AES-256 at rest for evidence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enforced at API gateway layer (Admin / Analyst / Read-only)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 audit log for all case-affecting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minimization: only alert ID, score, confidence, reason codes leave the simulated local-detection layer — raw content stays local until a human-authorized escalation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Configurable, documented retention window for records and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evaluation includes false-positive rate and basic bias/drift checks on the synthetic set, per domain</w:t>
      </w:r>
    </w:p>
    <w:p>
      <w:pPr>
        <w:pStyle w:val="Heading1"/>
        <w:spacing w:after="160" w:before="320"/>
      </w:pPr>
      <w:r>
        <w:t xml:space="preserve">8. Non-Functional / Technical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alert queue renders in &lt;3s for hackathon-scale synthetic dataset (~1,000–5,000 records across all domains)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inference service stateless, horizontally scalable behind FastAPI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Blockchain writes are async (queued), do not block the ingestion API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services containerized (Docker) with environment-variable-based config, no hardcoded secrets</w:t>
      </w:r>
    </w:p>
    <w:p>
      <w:pPr>
        <w:pStyle w:val="Heading1"/>
        <w:spacing w:after="160" w:before="320"/>
      </w:pPr>
      <w:r>
        <w:t xml:space="preserve">9. Deployment (Hackathon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Docker Compose stack: frontend, backend API, AI service, Postgres, Neo4j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Blockchain: public EVM testnet (e.g., Polygon Amoy) via a deployed Solidity contract, accessed through a wallet/RPC 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production platform integration; local-detection layer represented by a simulator script feeding synthetic WhatsApp/Telegram-style messages across all four domains</w:t>
      </w:r>
    </w:p>
    <w:p>
      <w:pPr>
        <w:pStyle w:val="Heading1"/>
        <w:spacing w:after="160" w:before="320"/>
      </w:pPr>
      <w:r>
        <w:t xml:space="preserve">10. Evaluation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labeled synthetic dataset per domain (trafficking, paper-leak, financial-scam, job-fraud indicator messages, plus sample leaked/fake document images)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Report: precision, recall, false-positive rate, average processing time per record, hash-verification success rate — broken down by domain and combined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all four domains through the identical pipeline UI to prove architectural generalization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2026-09-06T12:45:28.072Z</dcterms:created>
  <dcterms:modified xsi:type="dcterms:W3CDTF">2026-09-06T12:45:28.073Z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