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FB5" w:rsidRPr="00572AE4" w:rsidRDefault="00E32FB5" w:rsidP="00572AE4">
      <w:pPr>
        <w:pStyle w:val="Heading1"/>
        <w:spacing w:before="0"/>
        <w:jc w:val="center"/>
        <w:rPr>
          <w:rFonts w:asciiTheme="minorHAnsi" w:hAnsiTheme="minorHAnsi" w:cstheme="minorHAnsi"/>
          <w:b/>
          <w:color w:val="auto"/>
          <w:sz w:val="36"/>
          <w:szCs w:val="36"/>
        </w:rPr>
      </w:pPr>
      <w:r w:rsidRPr="00572AE4">
        <w:rPr>
          <w:rFonts w:asciiTheme="minorHAnsi" w:hAnsiTheme="minorHAnsi" w:cstheme="minorHAnsi"/>
          <w:b/>
          <w:color w:val="auto"/>
          <w:sz w:val="36"/>
          <w:szCs w:val="36"/>
        </w:rPr>
        <w:t>Customer Churn &amp; Revenue Risk Analysis</w:t>
      </w:r>
    </w:p>
    <w:p w:rsidR="00E32FB5" w:rsidRPr="00572AE4" w:rsidRDefault="00E32FB5" w:rsidP="00E32FB5">
      <w:pPr>
        <w:pStyle w:val="Heading2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572AE4">
        <w:rPr>
          <w:rFonts w:asciiTheme="minorHAnsi" w:hAnsiTheme="minorHAnsi" w:cstheme="minorHAnsi"/>
          <w:b/>
          <w:color w:val="auto"/>
          <w:sz w:val="24"/>
          <w:szCs w:val="24"/>
        </w:rPr>
        <w:t>1. Executive Summary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This analysis evaluates customer churn for a telecom company serving approximately 7,000 customers. The company is experiencing significant customer attrition, resulting in substantial recurring revenue loss.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 xml:space="preserve">The overall churn rate is </w:t>
      </w:r>
      <w:r w:rsidRPr="00E32FB5">
        <w:rPr>
          <w:rStyle w:val="Strong"/>
          <w:rFonts w:asciiTheme="minorHAnsi" w:eastAsiaTheme="majorEastAsia" w:hAnsiTheme="minorHAnsi" w:cstheme="minorHAnsi"/>
        </w:rPr>
        <w:t>26.5%</w:t>
      </w:r>
      <w:r w:rsidRPr="00E32FB5">
        <w:rPr>
          <w:rFonts w:asciiTheme="minorHAnsi" w:hAnsiTheme="minorHAnsi" w:cstheme="minorHAnsi"/>
        </w:rPr>
        <w:t xml:space="preserve">, meaning approximately 1 in 4 customers leave the company. This translates to an estimated </w:t>
      </w:r>
      <w:r w:rsidRPr="00E32FB5">
        <w:rPr>
          <w:rStyle w:val="Strong"/>
          <w:rFonts w:asciiTheme="minorHAnsi" w:eastAsiaTheme="majorEastAsia" w:hAnsiTheme="minorHAnsi" w:cstheme="minorHAnsi"/>
        </w:rPr>
        <w:t>monthly revenue loss of ~139K</w:t>
      </w:r>
      <w:r w:rsidRPr="00E32FB5">
        <w:rPr>
          <w:rFonts w:asciiTheme="minorHAnsi" w:hAnsiTheme="minorHAnsi" w:cstheme="minorHAnsi"/>
        </w:rPr>
        <w:t xml:space="preserve">, or approximately </w:t>
      </w:r>
      <w:r w:rsidRPr="00E32FB5">
        <w:rPr>
          <w:rStyle w:val="Strong"/>
          <w:rFonts w:asciiTheme="minorHAnsi" w:eastAsiaTheme="majorEastAsia" w:hAnsiTheme="minorHAnsi" w:cstheme="minorHAnsi"/>
        </w:rPr>
        <w:t>1.67 million annually</w:t>
      </w:r>
      <w:r w:rsidRPr="00E32FB5">
        <w:rPr>
          <w:rFonts w:asciiTheme="minorHAnsi" w:hAnsiTheme="minorHAnsi" w:cstheme="minorHAnsi"/>
        </w:rPr>
        <w:t>.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Churn is primarily concentrated among:</w:t>
      </w:r>
      <w:bookmarkStart w:id="0" w:name="_GoBack"/>
      <w:bookmarkEnd w:id="0"/>
    </w:p>
    <w:p w:rsidR="00E32FB5" w:rsidRPr="00E32FB5" w:rsidRDefault="00E32FB5" w:rsidP="00572AE4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Month-to-month contract customers</w:t>
      </w:r>
    </w:p>
    <w:p w:rsidR="00E32FB5" w:rsidRPr="00E32FB5" w:rsidRDefault="00E32FB5" w:rsidP="00E32FB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First-year subscribers</w:t>
      </w:r>
    </w:p>
    <w:p w:rsidR="00E32FB5" w:rsidRPr="00E32FB5" w:rsidRDefault="00E32FB5" w:rsidP="00E32FB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Electronic check payment users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Competitive pressure and service dissatisfaction are the leading reported churn reasons.</w:t>
      </w:r>
    </w:p>
    <w:p w:rsidR="00E32FB5" w:rsidRPr="00572AE4" w:rsidRDefault="00E32FB5" w:rsidP="00E32FB5">
      <w:pPr>
        <w:pStyle w:val="Heading2"/>
        <w:spacing w:befor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572AE4">
        <w:rPr>
          <w:rFonts w:asciiTheme="minorHAnsi" w:hAnsiTheme="minorHAnsi" w:cstheme="minorHAnsi"/>
          <w:b/>
          <w:color w:val="auto"/>
          <w:sz w:val="24"/>
          <w:szCs w:val="24"/>
        </w:rPr>
        <w:t>2. Dataset Overview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The dataset contains 7,043 customer records across 33 features, including:</w:t>
      </w:r>
    </w:p>
    <w:p w:rsidR="00E32FB5" w:rsidRPr="00E32FB5" w:rsidRDefault="00E32FB5" w:rsidP="00572AE4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Customer demographics</w:t>
      </w:r>
    </w:p>
    <w:p w:rsidR="00E32FB5" w:rsidRPr="00E32FB5" w:rsidRDefault="00E32FB5" w:rsidP="00E32F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Contract and payment details</w:t>
      </w:r>
    </w:p>
    <w:p w:rsidR="00E32FB5" w:rsidRPr="00E32FB5" w:rsidRDefault="00E32FB5" w:rsidP="00E32F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Service subscriptions</w:t>
      </w:r>
    </w:p>
    <w:p w:rsidR="00E32FB5" w:rsidRPr="00E32FB5" w:rsidRDefault="00E32FB5" w:rsidP="00E32F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Monthly and total charges</w:t>
      </w:r>
    </w:p>
    <w:p w:rsidR="00E32FB5" w:rsidRPr="00E32FB5" w:rsidRDefault="00E32FB5" w:rsidP="00E32FB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Customer Lifetime Value (CLTV)</w:t>
      </w:r>
    </w:p>
    <w:p w:rsidR="00E32FB5" w:rsidRPr="00E32FB5" w:rsidRDefault="00E32FB5" w:rsidP="00E32FB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Churn label and churn reason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This dataset enables both behavio</w:t>
      </w:r>
      <w:r w:rsidR="00572AE4">
        <w:rPr>
          <w:rFonts w:asciiTheme="minorHAnsi" w:hAnsiTheme="minorHAnsi" w:cstheme="minorHAnsi"/>
        </w:rPr>
        <w:t>u</w:t>
      </w:r>
      <w:r w:rsidRPr="00E32FB5">
        <w:rPr>
          <w:rFonts w:asciiTheme="minorHAnsi" w:hAnsiTheme="minorHAnsi" w:cstheme="minorHAnsi"/>
        </w:rPr>
        <w:t>ral and financial analysis of churn patterns.</w:t>
      </w:r>
    </w:p>
    <w:p w:rsidR="00E32FB5" w:rsidRPr="00572AE4" w:rsidRDefault="00E32FB5" w:rsidP="00E32FB5">
      <w:pPr>
        <w:pStyle w:val="Heading2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572AE4">
        <w:rPr>
          <w:rFonts w:asciiTheme="minorHAnsi" w:hAnsiTheme="minorHAnsi" w:cstheme="minorHAnsi"/>
          <w:b/>
          <w:color w:val="auto"/>
          <w:sz w:val="24"/>
          <w:szCs w:val="24"/>
        </w:rPr>
        <w:t>3. Key Findings</w:t>
      </w:r>
    </w:p>
    <w:p w:rsidR="00E32FB5" w:rsidRPr="00E32FB5" w:rsidRDefault="00E32FB5" w:rsidP="00E32FB5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E32FB5">
        <w:rPr>
          <w:rFonts w:asciiTheme="minorHAnsi" w:hAnsiTheme="minorHAnsi" w:cstheme="minorHAnsi"/>
          <w:sz w:val="24"/>
          <w:szCs w:val="24"/>
        </w:rPr>
        <w:t>3.1 Contract Type as Primary Driver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 xml:space="preserve">Customers on </w:t>
      </w:r>
      <w:r w:rsidRPr="00E32FB5">
        <w:rPr>
          <w:rStyle w:val="Strong"/>
          <w:rFonts w:asciiTheme="minorHAnsi" w:eastAsiaTheme="majorEastAsia" w:hAnsiTheme="minorHAnsi" w:cstheme="minorHAnsi"/>
        </w:rPr>
        <w:t>month-to-month contracts</w:t>
      </w:r>
      <w:r w:rsidRPr="00E32FB5">
        <w:rPr>
          <w:rFonts w:asciiTheme="minorHAnsi" w:hAnsiTheme="minorHAnsi" w:cstheme="minorHAnsi"/>
        </w:rPr>
        <w:t xml:space="preserve"> churn at 42.7%, nearly </w:t>
      </w:r>
      <w:r w:rsidRPr="00E32FB5">
        <w:rPr>
          <w:rStyle w:val="Strong"/>
          <w:rFonts w:asciiTheme="minorHAnsi" w:eastAsiaTheme="majorEastAsia" w:hAnsiTheme="minorHAnsi" w:cstheme="minorHAnsi"/>
        </w:rPr>
        <w:t>15× higher</w:t>
      </w:r>
      <w:r w:rsidRPr="00E32FB5">
        <w:rPr>
          <w:rFonts w:asciiTheme="minorHAnsi" w:hAnsiTheme="minorHAnsi" w:cstheme="minorHAnsi"/>
        </w:rPr>
        <w:t xml:space="preserve"> than customers on two-year contracts (2.8%).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 xml:space="preserve">Additionally, month-to-month customers account for approximately </w:t>
      </w:r>
      <w:r w:rsidRPr="00E32FB5">
        <w:rPr>
          <w:rStyle w:val="Strong"/>
          <w:rFonts w:asciiTheme="minorHAnsi" w:eastAsiaTheme="majorEastAsia" w:hAnsiTheme="minorHAnsi" w:cstheme="minorHAnsi"/>
        </w:rPr>
        <w:t>87% of total revenue loss</w:t>
      </w:r>
      <w:r w:rsidRPr="00E32FB5">
        <w:rPr>
          <w:rFonts w:asciiTheme="minorHAnsi" w:hAnsiTheme="minorHAnsi" w:cstheme="minorHAnsi"/>
        </w:rPr>
        <w:t>, making contract structure the most critical churn lever.</w:t>
      </w:r>
    </w:p>
    <w:p w:rsidR="00E32FB5" w:rsidRPr="00E32FB5" w:rsidRDefault="00E32FB5" w:rsidP="00E32FB5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E32FB5">
        <w:rPr>
          <w:rFonts w:asciiTheme="minorHAnsi" w:hAnsiTheme="minorHAnsi" w:cstheme="minorHAnsi"/>
          <w:sz w:val="24"/>
          <w:szCs w:val="24"/>
        </w:rPr>
        <w:t>3.2 Tenure-Based Risk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Churn is heavily concentrated in the first year:</w:t>
      </w:r>
    </w:p>
    <w:p w:rsidR="00E32FB5" w:rsidRPr="00E32FB5" w:rsidRDefault="00E32FB5" w:rsidP="00E32FB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0–12 months: 47.7% churn</w:t>
      </w:r>
    </w:p>
    <w:p w:rsidR="00E32FB5" w:rsidRPr="00E32FB5" w:rsidRDefault="00E32FB5" w:rsidP="00E32FB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48+ months: 9.5% churn</w:t>
      </w:r>
    </w:p>
    <w:p w:rsidR="00E32FB5" w:rsidRPr="00572AE4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r w:rsidRPr="00E32FB5">
        <w:rPr>
          <w:rFonts w:asciiTheme="minorHAnsi" w:hAnsiTheme="minorHAnsi" w:cstheme="minorHAnsi"/>
        </w:rPr>
        <w:t>Churn risk declines significantly as tenure increases, suggesting early-stage customer experience and onboarding are key risk areas.</w:t>
      </w:r>
    </w:p>
    <w:p w:rsidR="00E32FB5" w:rsidRPr="00E32FB5" w:rsidRDefault="00E32FB5" w:rsidP="00E32FB5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E32FB5">
        <w:rPr>
          <w:rFonts w:asciiTheme="minorHAnsi" w:hAnsiTheme="minorHAnsi" w:cstheme="minorHAnsi"/>
          <w:sz w:val="24"/>
          <w:szCs w:val="24"/>
        </w:rPr>
        <w:t>3.3 Payment Behavio</w:t>
      </w:r>
      <w:r w:rsidR="00572AE4">
        <w:rPr>
          <w:rFonts w:asciiTheme="minorHAnsi" w:hAnsiTheme="minorHAnsi" w:cstheme="minorHAnsi"/>
          <w:sz w:val="24"/>
          <w:szCs w:val="24"/>
        </w:rPr>
        <w:t>u</w:t>
      </w:r>
      <w:r w:rsidRPr="00E32FB5">
        <w:rPr>
          <w:rFonts w:asciiTheme="minorHAnsi" w:hAnsiTheme="minorHAnsi" w:cstheme="minorHAnsi"/>
          <w:sz w:val="24"/>
          <w:szCs w:val="24"/>
        </w:rPr>
        <w:t>r Impact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 xml:space="preserve">Customers using </w:t>
      </w:r>
      <w:r w:rsidRPr="00E32FB5">
        <w:rPr>
          <w:rStyle w:val="Strong"/>
          <w:rFonts w:asciiTheme="minorHAnsi" w:eastAsiaTheme="majorEastAsia" w:hAnsiTheme="minorHAnsi" w:cstheme="minorHAnsi"/>
        </w:rPr>
        <w:t>electronic check</w:t>
      </w:r>
      <w:r w:rsidRPr="00E32FB5">
        <w:rPr>
          <w:rFonts w:asciiTheme="minorHAnsi" w:hAnsiTheme="minorHAnsi" w:cstheme="minorHAnsi"/>
        </w:rPr>
        <w:t xml:space="preserve"> exhibit a 45% churn rate, significantly higher than automatic payment methods (~15–17%).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This suggests payment friction and lower customer commitment may increase churn risk.</w:t>
      </w:r>
    </w:p>
    <w:p w:rsidR="00E32FB5" w:rsidRPr="00E32FB5" w:rsidRDefault="00E32FB5" w:rsidP="00E32FB5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E32FB5">
        <w:rPr>
          <w:rFonts w:asciiTheme="minorHAnsi" w:hAnsiTheme="minorHAnsi" w:cstheme="minorHAnsi"/>
          <w:sz w:val="24"/>
          <w:szCs w:val="24"/>
        </w:rPr>
        <w:t>3.4 CLTV-Based Risk Assessment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Low-CLTV customers churn at 34%, compared to 21% among high-CLTV customers.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While churn is higher among lower-value customers, the loss of high-CLTV customers represents significant long-term revenue impact.</w:t>
      </w:r>
    </w:p>
    <w:p w:rsidR="00E32FB5" w:rsidRPr="00E32FB5" w:rsidRDefault="00E32FB5" w:rsidP="00E32FB5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E32FB5">
        <w:rPr>
          <w:rFonts w:asciiTheme="minorHAnsi" w:hAnsiTheme="minorHAnsi" w:cstheme="minorHAnsi"/>
          <w:sz w:val="24"/>
          <w:szCs w:val="24"/>
        </w:rPr>
        <w:t>3.5 Root Cause Analysis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Primary churn drivers include:</w:t>
      </w:r>
    </w:p>
    <w:p w:rsidR="00E32FB5" w:rsidRPr="00E32FB5" w:rsidRDefault="00E32FB5" w:rsidP="00E32FB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Competitors offering better download speeds and pricing</w:t>
      </w:r>
    </w:p>
    <w:p w:rsidR="00E32FB5" w:rsidRPr="00E32FB5" w:rsidRDefault="00E32FB5" w:rsidP="00E32FB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Service dissatisfaction and poor support interactions</w:t>
      </w:r>
    </w:p>
    <w:p w:rsidR="00E32FB5" w:rsidRPr="00E32FB5" w:rsidRDefault="00E32FB5" w:rsidP="00E32FB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lastRenderedPageBreak/>
        <w:t>Perceived lack of competitive value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This indicates both market competition and customer experience gaps are contributing to churn.</w:t>
      </w:r>
    </w:p>
    <w:p w:rsidR="00E32FB5" w:rsidRPr="00572AE4" w:rsidRDefault="00E32FB5" w:rsidP="00E32FB5">
      <w:pPr>
        <w:pStyle w:val="Heading2"/>
        <w:spacing w:befor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572AE4">
        <w:rPr>
          <w:rFonts w:asciiTheme="minorHAnsi" w:hAnsiTheme="minorHAnsi" w:cstheme="minorHAnsi"/>
          <w:b/>
          <w:color w:val="auto"/>
          <w:sz w:val="24"/>
          <w:szCs w:val="24"/>
        </w:rPr>
        <w:t>4. Risk Profile Summary</w:t>
      </w:r>
    </w:p>
    <w:p w:rsidR="00E32FB5" w:rsidRPr="00E32FB5" w:rsidRDefault="00E32FB5" w:rsidP="00E32FB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High-risk customers are typically:</w:t>
      </w:r>
    </w:p>
    <w:p w:rsidR="00E32FB5" w:rsidRPr="00E32FB5" w:rsidRDefault="00E32FB5" w:rsidP="00E32FB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Early-tenure subscribers (0–12 months)</w:t>
      </w:r>
    </w:p>
    <w:p w:rsidR="00E32FB5" w:rsidRPr="00E32FB5" w:rsidRDefault="00E32FB5" w:rsidP="00E32FB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Month-to-month contract holders</w:t>
      </w:r>
    </w:p>
    <w:p w:rsidR="00E32FB5" w:rsidRPr="00E32FB5" w:rsidRDefault="00E32FB5" w:rsidP="00E32FB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Electronic check payment users</w:t>
      </w:r>
    </w:p>
    <w:p w:rsidR="00E32FB5" w:rsidRPr="00E32FB5" w:rsidRDefault="00E32FB5" w:rsidP="00E32FB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Sensitive to competitive pricing and service quality</w:t>
      </w:r>
    </w:p>
    <w:p w:rsidR="00E32FB5" w:rsidRPr="00572AE4" w:rsidRDefault="00E32FB5" w:rsidP="00E32FB5">
      <w:pPr>
        <w:pStyle w:val="Heading2"/>
        <w:spacing w:before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572AE4">
        <w:rPr>
          <w:rFonts w:asciiTheme="minorHAnsi" w:hAnsiTheme="minorHAnsi" w:cstheme="minorHAnsi"/>
          <w:b/>
          <w:color w:val="auto"/>
          <w:sz w:val="24"/>
          <w:szCs w:val="24"/>
        </w:rPr>
        <w:t>5. Business Recommendations</w:t>
      </w:r>
    </w:p>
    <w:p w:rsidR="00E32FB5" w:rsidRPr="00E32FB5" w:rsidRDefault="00E32FB5" w:rsidP="00E32FB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Introduce incentives for month-to-month customers to transition to long-term contracts.</w:t>
      </w:r>
    </w:p>
    <w:p w:rsidR="00E32FB5" w:rsidRPr="00E32FB5" w:rsidRDefault="00E32FB5" w:rsidP="00E32FB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Strengthen onboarding and engagement strategies during the first 12 months.</w:t>
      </w:r>
    </w:p>
    <w:p w:rsidR="00E32FB5" w:rsidRPr="00E32FB5" w:rsidRDefault="00E32FB5" w:rsidP="00E32FB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Encourage adoption of automatic payment methods to reduce friction.</w:t>
      </w:r>
    </w:p>
    <w:p w:rsidR="00E32FB5" w:rsidRPr="00E32FB5" w:rsidRDefault="00E32FB5" w:rsidP="00E32FB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32FB5">
        <w:rPr>
          <w:rFonts w:asciiTheme="minorHAnsi" w:hAnsiTheme="minorHAnsi" w:cstheme="minorHAnsi"/>
        </w:rPr>
        <w:t>Improve service quality and pricing competitiveness in response to identified churn drivers.</w:t>
      </w:r>
    </w:p>
    <w:p w:rsidR="00130A23" w:rsidRPr="00E32FB5" w:rsidRDefault="00130A23" w:rsidP="004416F5">
      <w:pPr>
        <w:spacing w:after="0"/>
        <w:rPr>
          <w:rFonts w:cstheme="minorHAnsi"/>
          <w:sz w:val="24"/>
          <w:szCs w:val="24"/>
        </w:rPr>
      </w:pPr>
    </w:p>
    <w:sectPr w:rsidR="00130A23" w:rsidRPr="00E32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559" w:rsidRDefault="008F4559" w:rsidP="00572AE4">
      <w:pPr>
        <w:spacing w:after="0" w:line="240" w:lineRule="auto"/>
      </w:pPr>
      <w:r>
        <w:separator/>
      </w:r>
    </w:p>
  </w:endnote>
  <w:endnote w:type="continuationSeparator" w:id="0">
    <w:p w:rsidR="008F4559" w:rsidRDefault="008F4559" w:rsidP="00572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559" w:rsidRDefault="008F4559" w:rsidP="00572AE4">
      <w:pPr>
        <w:spacing w:after="0" w:line="240" w:lineRule="auto"/>
      </w:pPr>
      <w:r>
        <w:separator/>
      </w:r>
    </w:p>
  </w:footnote>
  <w:footnote w:type="continuationSeparator" w:id="0">
    <w:p w:rsidR="008F4559" w:rsidRDefault="008F4559" w:rsidP="00572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22CC5"/>
    <w:multiLevelType w:val="multilevel"/>
    <w:tmpl w:val="9792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510F2"/>
    <w:multiLevelType w:val="multilevel"/>
    <w:tmpl w:val="AE2E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73CA3"/>
    <w:multiLevelType w:val="multilevel"/>
    <w:tmpl w:val="DBB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B30F7"/>
    <w:multiLevelType w:val="multilevel"/>
    <w:tmpl w:val="46E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A07DE"/>
    <w:multiLevelType w:val="multilevel"/>
    <w:tmpl w:val="192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13EF5"/>
    <w:multiLevelType w:val="multilevel"/>
    <w:tmpl w:val="067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36254"/>
    <w:multiLevelType w:val="multilevel"/>
    <w:tmpl w:val="EA2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E1195"/>
    <w:multiLevelType w:val="hybridMultilevel"/>
    <w:tmpl w:val="60FE7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9447D"/>
    <w:multiLevelType w:val="multilevel"/>
    <w:tmpl w:val="73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379FB"/>
    <w:multiLevelType w:val="multilevel"/>
    <w:tmpl w:val="EA5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8"/>
  </w:num>
  <w:num w:numId="7">
    <w:abstractNumId w:val="9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B91"/>
    <w:rsid w:val="00130A23"/>
    <w:rsid w:val="004416F5"/>
    <w:rsid w:val="00572AE4"/>
    <w:rsid w:val="008F4559"/>
    <w:rsid w:val="00960998"/>
    <w:rsid w:val="00BB7B91"/>
    <w:rsid w:val="00E3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DF4C"/>
  <w15:chartTrackingRefBased/>
  <w15:docId w15:val="{8C69E6EE-BFAD-4726-A191-73FFB5B4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F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B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7B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B7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7B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B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16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32F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32FB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72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AE4"/>
  </w:style>
  <w:style w:type="paragraph" w:styleId="Footer">
    <w:name w:val="footer"/>
    <w:basedOn w:val="Normal"/>
    <w:link w:val="FooterChar"/>
    <w:uiPriority w:val="99"/>
    <w:unhideWhenUsed/>
    <w:rsid w:val="00572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7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2026-02-16T09:30:00Z</dcterms:created>
  <dcterms:modified xsi:type="dcterms:W3CDTF">2026-02-16T09:30:00Z</dcterms:modified>
</cp:coreProperties>
</file>