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12E0F" w14:textId="27790CFE" w:rsidR="00FE2C0F" w:rsidRDefault="00000000">
      <w:pPr>
        <w:pStyle w:val="Title"/>
        <w:jc w:val="center"/>
      </w:pPr>
      <w:r>
        <w:t>IaaS, PaaS and SaaS: Differences and Use Cases</w:t>
      </w:r>
      <w:r w:rsidR="001560F3">
        <w:t xml:space="preserve"> from an African Fintech Perspective</w:t>
      </w:r>
    </w:p>
    <w:p w14:paraId="61A7194A" w14:textId="77777777" w:rsidR="00FE2C0F" w:rsidRPr="001560F3" w:rsidRDefault="00000000" w:rsidP="001560F3">
      <w:pPr>
        <w:pStyle w:val="Heading1"/>
        <w:spacing w:line="600" w:lineRule="auto"/>
        <w:rPr>
          <w:rFonts w:ascii="Arial" w:hAnsi="Arial" w:cs="Arial"/>
          <w:sz w:val="24"/>
          <w:szCs w:val="24"/>
        </w:rPr>
      </w:pPr>
      <w:r w:rsidRPr="001560F3">
        <w:rPr>
          <w:rFonts w:ascii="Arial" w:hAnsi="Arial" w:cs="Arial"/>
          <w:sz w:val="24"/>
          <w:szCs w:val="24"/>
        </w:rPr>
        <w:t>Reflection</w:t>
      </w:r>
    </w:p>
    <w:p w14:paraId="6834E341" w14:textId="77777777" w:rsidR="001560F3" w:rsidRPr="001560F3" w:rsidRDefault="00000000" w:rsidP="001560F3">
      <w:pPr>
        <w:spacing w:line="600" w:lineRule="auto"/>
        <w:jc w:val="both"/>
        <w:rPr>
          <w:rFonts w:ascii="Arial" w:hAnsi="Arial" w:cs="Arial"/>
          <w:sz w:val="24"/>
          <w:szCs w:val="24"/>
        </w:rPr>
      </w:pPr>
      <w:r w:rsidRPr="001560F3">
        <w:rPr>
          <w:rFonts w:ascii="Arial" w:hAnsi="Arial" w:cs="Arial"/>
          <w:sz w:val="24"/>
          <w:szCs w:val="24"/>
        </w:rPr>
        <w:t xml:space="preserve">Cloud computing is best understood as a continuum of control. </w:t>
      </w:r>
    </w:p>
    <w:p w14:paraId="621FD96F" w14:textId="77777777" w:rsidR="001560F3" w:rsidRPr="001560F3" w:rsidRDefault="00000000" w:rsidP="001560F3">
      <w:pPr>
        <w:pStyle w:val="ListParagraph"/>
        <w:numPr>
          <w:ilvl w:val="0"/>
          <w:numId w:val="11"/>
        </w:numPr>
        <w:spacing w:line="600" w:lineRule="auto"/>
        <w:jc w:val="both"/>
        <w:rPr>
          <w:rFonts w:ascii="Arial" w:hAnsi="Arial" w:cs="Arial"/>
          <w:sz w:val="24"/>
          <w:szCs w:val="24"/>
        </w:rPr>
      </w:pPr>
      <w:r w:rsidRPr="001560F3">
        <w:rPr>
          <w:rFonts w:ascii="Arial" w:hAnsi="Arial" w:cs="Arial"/>
          <w:sz w:val="24"/>
          <w:szCs w:val="24"/>
        </w:rPr>
        <w:t xml:space="preserve">Infrastructure as a Service (IaaS) supplies virtual compute, storage and networking; the customer still manages operating systems, middleware, applications and data. </w:t>
      </w:r>
    </w:p>
    <w:p w14:paraId="4D7286E2" w14:textId="77777777" w:rsidR="001560F3" w:rsidRPr="001560F3" w:rsidRDefault="00000000" w:rsidP="001560F3">
      <w:pPr>
        <w:pStyle w:val="ListParagraph"/>
        <w:numPr>
          <w:ilvl w:val="0"/>
          <w:numId w:val="11"/>
        </w:numPr>
        <w:spacing w:line="600" w:lineRule="auto"/>
        <w:jc w:val="both"/>
        <w:rPr>
          <w:rFonts w:ascii="Arial" w:hAnsi="Arial" w:cs="Arial"/>
          <w:sz w:val="24"/>
          <w:szCs w:val="24"/>
        </w:rPr>
      </w:pPr>
      <w:r w:rsidRPr="001560F3">
        <w:rPr>
          <w:rFonts w:ascii="Arial" w:hAnsi="Arial" w:cs="Arial"/>
          <w:sz w:val="24"/>
          <w:szCs w:val="24"/>
        </w:rPr>
        <w:t xml:space="preserve">Platform as a Service (PaaS) adds managed runtimes, databases and development tooling, leaving the customer mainly responsible for code and data. </w:t>
      </w:r>
    </w:p>
    <w:p w14:paraId="62820D96" w14:textId="7AE56577" w:rsidR="00FE2C0F" w:rsidRPr="001560F3" w:rsidRDefault="00000000" w:rsidP="001560F3">
      <w:pPr>
        <w:pStyle w:val="ListParagraph"/>
        <w:numPr>
          <w:ilvl w:val="0"/>
          <w:numId w:val="11"/>
        </w:numPr>
        <w:spacing w:line="600" w:lineRule="auto"/>
        <w:jc w:val="both"/>
        <w:rPr>
          <w:rFonts w:ascii="Arial" w:hAnsi="Arial" w:cs="Arial"/>
          <w:sz w:val="24"/>
          <w:szCs w:val="24"/>
        </w:rPr>
      </w:pPr>
      <w:r w:rsidRPr="001560F3">
        <w:rPr>
          <w:rFonts w:ascii="Arial" w:hAnsi="Arial" w:cs="Arial"/>
          <w:sz w:val="24"/>
          <w:szCs w:val="24"/>
        </w:rPr>
        <w:t>Software as a Service (SaaS) provides a complete application, with the provider operating the entire technology stack (Mell &amp; Grance, 2011).</w:t>
      </w:r>
    </w:p>
    <w:p w14:paraId="3F7A683E" w14:textId="77777777" w:rsidR="001560F3" w:rsidRPr="001560F3" w:rsidRDefault="00000000" w:rsidP="001560F3">
      <w:pPr>
        <w:spacing w:line="600" w:lineRule="auto"/>
        <w:jc w:val="both"/>
        <w:rPr>
          <w:rFonts w:ascii="Arial" w:hAnsi="Arial" w:cs="Arial"/>
          <w:sz w:val="24"/>
          <w:szCs w:val="24"/>
        </w:rPr>
      </w:pPr>
      <w:r w:rsidRPr="001560F3">
        <w:rPr>
          <w:rFonts w:ascii="Arial" w:hAnsi="Arial" w:cs="Arial"/>
          <w:sz w:val="24"/>
          <w:szCs w:val="24"/>
        </w:rPr>
        <w:t xml:space="preserve">From an African fintech perspective, the choice is strategic rather than technical. </w:t>
      </w:r>
    </w:p>
    <w:p w14:paraId="7FFE1822" w14:textId="77777777" w:rsidR="001560F3" w:rsidRPr="001560F3" w:rsidRDefault="00000000" w:rsidP="001560F3">
      <w:pPr>
        <w:pStyle w:val="ListParagraph"/>
        <w:numPr>
          <w:ilvl w:val="0"/>
          <w:numId w:val="12"/>
        </w:numPr>
        <w:spacing w:line="600" w:lineRule="auto"/>
        <w:jc w:val="both"/>
        <w:rPr>
          <w:rFonts w:ascii="Arial" w:hAnsi="Arial" w:cs="Arial"/>
          <w:sz w:val="24"/>
          <w:szCs w:val="24"/>
        </w:rPr>
      </w:pPr>
      <w:r w:rsidRPr="001560F3">
        <w:rPr>
          <w:rFonts w:ascii="Arial" w:hAnsi="Arial" w:cs="Arial"/>
          <w:sz w:val="24"/>
          <w:szCs w:val="24"/>
        </w:rPr>
        <w:t xml:space="preserve">IaaS suits regulated, differentiated workloads requiring security architecture, data-location choices or migration of legacy payment systems. </w:t>
      </w:r>
      <w:proofErr w:type="gramStart"/>
      <w:r w:rsidRPr="001560F3">
        <w:rPr>
          <w:rFonts w:ascii="Arial" w:hAnsi="Arial" w:cs="Arial"/>
          <w:sz w:val="24"/>
          <w:szCs w:val="24"/>
        </w:rPr>
        <w:t>A digital lender,</w:t>
      </w:r>
      <w:proofErr w:type="gramEnd"/>
      <w:r w:rsidRPr="001560F3">
        <w:rPr>
          <w:rFonts w:ascii="Arial" w:hAnsi="Arial" w:cs="Arial"/>
          <w:sz w:val="24"/>
          <w:szCs w:val="24"/>
        </w:rPr>
        <w:t xml:space="preserve"> may host a customised credit engine on virtual machines while retaining control over encryption, network segmentation and resilience. Its flexibility, however, creates configuration, skills and cost-management obligations.</w:t>
      </w:r>
    </w:p>
    <w:p w14:paraId="1B2C502C" w14:textId="77777777" w:rsidR="001560F3" w:rsidRPr="001560F3" w:rsidRDefault="00000000" w:rsidP="001560F3">
      <w:pPr>
        <w:pStyle w:val="ListParagraph"/>
        <w:numPr>
          <w:ilvl w:val="0"/>
          <w:numId w:val="12"/>
        </w:numPr>
        <w:spacing w:line="600" w:lineRule="auto"/>
        <w:jc w:val="both"/>
        <w:rPr>
          <w:rFonts w:ascii="Arial" w:hAnsi="Arial" w:cs="Arial"/>
          <w:sz w:val="24"/>
          <w:szCs w:val="24"/>
        </w:rPr>
      </w:pPr>
      <w:r w:rsidRPr="001560F3">
        <w:rPr>
          <w:rFonts w:ascii="Arial" w:hAnsi="Arial" w:cs="Arial"/>
          <w:sz w:val="24"/>
          <w:szCs w:val="24"/>
        </w:rPr>
        <w:lastRenderedPageBreak/>
        <w:t>PaaS is the strongest model for rapid innovation. Managed databases, API gateways, container platforms and serverless services can shorten the release cycle for mobile wallets, agency banking, fraud analytics and cross-border-payment integrations. This matters where fintechs must scale, integrate with telecom and banking ecosystems, and serve customers across uneven connectivity environments. The trade-off is increased platform dependency and reduced control over underlying components.</w:t>
      </w:r>
    </w:p>
    <w:p w14:paraId="14F7C582" w14:textId="0B677626" w:rsidR="00FE2C0F" w:rsidRPr="001560F3" w:rsidRDefault="00000000" w:rsidP="001560F3">
      <w:pPr>
        <w:pStyle w:val="ListParagraph"/>
        <w:numPr>
          <w:ilvl w:val="0"/>
          <w:numId w:val="12"/>
        </w:numPr>
        <w:spacing w:line="600" w:lineRule="auto"/>
        <w:jc w:val="both"/>
        <w:rPr>
          <w:rFonts w:ascii="Arial" w:hAnsi="Arial" w:cs="Arial"/>
          <w:sz w:val="24"/>
          <w:szCs w:val="24"/>
        </w:rPr>
      </w:pPr>
      <w:r w:rsidRPr="001560F3">
        <w:rPr>
          <w:rFonts w:ascii="Arial" w:hAnsi="Arial" w:cs="Arial"/>
          <w:sz w:val="24"/>
          <w:szCs w:val="24"/>
        </w:rPr>
        <w:t>SaaS is appropriate for capabilities such as collaboration, customer support, payroll, compliance workflow and security monitoring. It offers deployment and predictable subscription pricing, but fintechs must assess vendor concentration, portability, privacy, service availability and regulatory access to records.</w:t>
      </w:r>
    </w:p>
    <w:p w14:paraId="0060BF7B" w14:textId="77777777" w:rsidR="00FE2C0F" w:rsidRPr="001560F3" w:rsidRDefault="00000000" w:rsidP="001560F3">
      <w:pPr>
        <w:spacing w:line="600" w:lineRule="auto"/>
        <w:jc w:val="both"/>
        <w:rPr>
          <w:rFonts w:ascii="Arial" w:hAnsi="Arial" w:cs="Arial"/>
          <w:sz w:val="24"/>
          <w:szCs w:val="24"/>
        </w:rPr>
      </w:pPr>
      <w:r w:rsidRPr="001560F3">
        <w:rPr>
          <w:rFonts w:ascii="Arial" w:hAnsi="Arial" w:cs="Arial"/>
          <w:sz w:val="24"/>
          <w:szCs w:val="24"/>
        </w:rPr>
        <w:t>Recent trends reinforce a blended approach. Gartner forecast double-digit growth across cloud segments in 2025, driven by AI, cloud-native development and hybrid environments (Gartner, 2024). Meanwhile, Africa's mobile ecosystem supports digital finance and AI-enabled services, while a connectivity usage gap remains (GSMA, 2025). Therefore, African fintechs should combine SaaS for commodity functions, PaaS for differentiated digital products, and IaaS where control, legacy integration or regulatory risk justifies complexity.</w:t>
      </w:r>
    </w:p>
    <w:p w14:paraId="04195E6F" w14:textId="77777777" w:rsidR="00FE2C0F" w:rsidRPr="001560F3" w:rsidRDefault="00000000" w:rsidP="001560F3">
      <w:pPr>
        <w:pStyle w:val="Heading1"/>
        <w:spacing w:line="600" w:lineRule="auto"/>
        <w:rPr>
          <w:rFonts w:ascii="Arial" w:hAnsi="Arial" w:cs="Arial"/>
          <w:sz w:val="24"/>
          <w:szCs w:val="24"/>
        </w:rPr>
      </w:pPr>
      <w:r w:rsidRPr="001560F3">
        <w:rPr>
          <w:rFonts w:ascii="Arial" w:hAnsi="Arial" w:cs="Arial"/>
          <w:sz w:val="24"/>
          <w:szCs w:val="24"/>
        </w:rPr>
        <w:lastRenderedPageBreak/>
        <w:t>References</w:t>
      </w:r>
    </w:p>
    <w:p w14:paraId="1A1E9357" w14:textId="43161E5E" w:rsidR="0031293A" w:rsidRPr="001560F3" w:rsidRDefault="00000000" w:rsidP="001560F3">
      <w:pPr>
        <w:pStyle w:val="ListParagraph"/>
        <w:spacing w:after="80" w:line="600" w:lineRule="auto"/>
        <w:ind w:left="0"/>
        <w:rPr>
          <w:rFonts w:ascii="Arial" w:hAnsi="Arial" w:cs="Arial"/>
          <w:sz w:val="24"/>
          <w:szCs w:val="24"/>
        </w:rPr>
      </w:pPr>
      <w:r w:rsidRPr="001560F3">
        <w:rPr>
          <w:rFonts w:ascii="Arial" w:hAnsi="Arial" w:cs="Arial"/>
          <w:sz w:val="24"/>
          <w:szCs w:val="24"/>
        </w:rPr>
        <w:t xml:space="preserve">Gartner. (2024, November 19). Gartner forecasts worldwide public cloud end-user spending to total $723 billion in 2025. </w:t>
      </w:r>
      <w:hyperlink r:id="rId8" w:history="1">
        <w:r w:rsidR="0031293A" w:rsidRPr="001560F3">
          <w:rPr>
            <w:rStyle w:val="Hyperlink"/>
            <w:rFonts w:ascii="Arial" w:hAnsi="Arial" w:cs="Arial"/>
            <w:sz w:val="24"/>
            <w:szCs w:val="24"/>
          </w:rPr>
          <w:t>https://www.gartner.com/en/newsroom/press-releases/2024-11-19-gartner-forecasts-worldwide-public-cloud-end-user-spending-to-total-723-billion-dollars-in-2025</w:t>
        </w:r>
      </w:hyperlink>
    </w:p>
    <w:p w14:paraId="2E177267" w14:textId="77777777" w:rsidR="004847EC" w:rsidRPr="001560F3" w:rsidRDefault="004847EC" w:rsidP="001560F3">
      <w:pPr>
        <w:pStyle w:val="ListParagraph"/>
        <w:spacing w:after="80" w:line="600" w:lineRule="auto"/>
        <w:ind w:left="0"/>
        <w:rPr>
          <w:rFonts w:ascii="Arial" w:hAnsi="Arial" w:cs="Arial"/>
          <w:sz w:val="24"/>
          <w:szCs w:val="24"/>
        </w:rPr>
      </w:pPr>
    </w:p>
    <w:p w14:paraId="1DDFC66F" w14:textId="700213D4" w:rsidR="0031293A" w:rsidRPr="001560F3" w:rsidRDefault="00000000" w:rsidP="001560F3">
      <w:pPr>
        <w:pStyle w:val="ListParagraph"/>
        <w:spacing w:after="80" w:line="600" w:lineRule="auto"/>
        <w:ind w:left="0"/>
        <w:rPr>
          <w:rFonts w:ascii="Arial" w:hAnsi="Arial" w:cs="Arial"/>
          <w:sz w:val="24"/>
          <w:szCs w:val="24"/>
        </w:rPr>
      </w:pPr>
      <w:r w:rsidRPr="001560F3">
        <w:rPr>
          <w:rFonts w:ascii="Arial" w:hAnsi="Arial" w:cs="Arial"/>
          <w:sz w:val="24"/>
          <w:szCs w:val="24"/>
        </w:rPr>
        <w:t xml:space="preserve">GSMA. (2025). The Mobile Economy Africa 2025. </w:t>
      </w:r>
      <w:hyperlink r:id="rId9" w:history="1">
        <w:r w:rsidR="0031293A" w:rsidRPr="001560F3">
          <w:rPr>
            <w:rStyle w:val="Hyperlink"/>
            <w:rFonts w:ascii="Arial" w:hAnsi="Arial" w:cs="Arial"/>
            <w:sz w:val="24"/>
            <w:szCs w:val="24"/>
          </w:rPr>
          <w:t>https://www.gsma.com/mobileeconomy/africa-2025</w:t>
        </w:r>
      </w:hyperlink>
    </w:p>
    <w:p w14:paraId="323C19E1" w14:textId="77777777" w:rsidR="004847EC" w:rsidRPr="001560F3" w:rsidRDefault="004847EC" w:rsidP="001560F3">
      <w:pPr>
        <w:pStyle w:val="ListParagraph"/>
        <w:spacing w:after="80" w:line="600" w:lineRule="auto"/>
        <w:ind w:left="0"/>
        <w:rPr>
          <w:rFonts w:ascii="Arial" w:hAnsi="Arial" w:cs="Arial"/>
          <w:sz w:val="24"/>
          <w:szCs w:val="24"/>
        </w:rPr>
      </w:pPr>
    </w:p>
    <w:p w14:paraId="31615663" w14:textId="1213D504" w:rsidR="00FE2C0F" w:rsidRPr="00CE1A11" w:rsidRDefault="00000000" w:rsidP="001560F3">
      <w:pPr>
        <w:pStyle w:val="ListParagraph"/>
        <w:spacing w:after="80" w:line="600" w:lineRule="auto"/>
        <w:ind w:left="0"/>
        <w:rPr>
          <w:sz w:val="20"/>
          <w:szCs w:val="20"/>
        </w:rPr>
      </w:pPr>
      <w:r w:rsidRPr="001560F3">
        <w:rPr>
          <w:rFonts w:ascii="Arial" w:hAnsi="Arial" w:cs="Arial"/>
          <w:sz w:val="24"/>
          <w:szCs w:val="24"/>
        </w:rPr>
        <w:t xml:space="preserve">Mell, P., &amp; Grance, T. (2011). The NIST definition of cloud computing (NIST Special Publication 800-145). National Institute of Standards and Technology. </w:t>
      </w:r>
      <w:r w:rsidRPr="001560F3">
        <w:rPr>
          <w:rFonts w:ascii="Arial" w:hAnsi="Arial" w:cs="Arial"/>
          <w:sz w:val="22"/>
        </w:rPr>
        <w:t>https://doi.org/10.6028/NIST.SP.800-145</w:t>
      </w:r>
    </w:p>
    <w:sectPr w:rsidR="00FE2C0F" w:rsidRPr="00CE1A11" w:rsidSect="001560F3">
      <w:headerReference w:type="default" r:id="rId10"/>
      <w:pgSz w:w="12240" w:h="15840"/>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D817F" w14:textId="77777777" w:rsidR="00EE4E48" w:rsidRDefault="00EE4E48">
      <w:pPr>
        <w:spacing w:after="0" w:line="240" w:lineRule="auto"/>
      </w:pPr>
      <w:r>
        <w:separator/>
      </w:r>
    </w:p>
  </w:endnote>
  <w:endnote w:type="continuationSeparator" w:id="0">
    <w:p w14:paraId="762C05E6" w14:textId="77777777" w:rsidR="00EE4E48" w:rsidRDefault="00EE4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15ABE" w14:textId="77777777" w:rsidR="00EE4E48" w:rsidRDefault="00EE4E48">
      <w:pPr>
        <w:spacing w:after="0" w:line="240" w:lineRule="auto"/>
      </w:pPr>
      <w:r>
        <w:separator/>
      </w:r>
    </w:p>
  </w:footnote>
  <w:footnote w:type="continuationSeparator" w:id="0">
    <w:p w14:paraId="1BA7D525" w14:textId="77777777" w:rsidR="00EE4E48" w:rsidRDefault="00EE4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205582"/>
      <w:docPartObj>
        <w:docPartGallery w:val="Page Numbers (Top of Page)"/>
        <w:docPartUnique/>
      </w:docPartObj>
    </w:sdtPr>
    <w:sdtEndPr>
      <w:rPr>
        <w:noProof/>
      </w:rPr>
    </w:sdtEndPr>
    <w:sdtContent>
      <w:p w14:paraId="14D0B9BE" w14:textId="6B31B14A" w:rsidR="001560F3" w:rsidRDefault="001560F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ABCDFB6" w14:textId="77777777" w:rsidR="001560F3" w:rsidRDefault="001560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E6A7759"/>
    <w:multiLevelType w:val="hybridMultilevel"/>
    <w:tmpl w:val="E88E20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62C6205A"/>
    <w:multiLevelType w:val="hybridMultilevel"/>
    <w:tmpl w:val="8C423A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2DA0423"/>
    <w:multiLevelType w:val="hybridMultilevel"/>
    <w:tmpl w:val="C05883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78665691">
    <w:abstractNumId w:val="8"/>
  </w:num>
  <w:num w:numId="2" w16cid:durableId="2115052856">
    <w:abstractNumId w:val="6"/>
  </w:num>
  <w:num w:numId="3" w16cid:durableId="303048960">
    <w:abstractNumId w:val="5"/>
  </w:num>
  <w:num w:numId="4" w16cid:durableId="1738089746">
    <w:abstractNumId w:val="4"/>
  </w:num>
  <w:num w:numId="5" w16cid:durableId="758209315">
    <w:abstractNumId w:val="7"/>
  </w:num>
  <w:num w:numId="6" w16cid:durableId="662969128">
    <w:abstractNumId w:val="3"/>
  </w:num>
  <w:num w:numId="7" w16cid:durableId="1070541173">
    <w:abstractNumId w:val="2"/>
  </w:num>
  <w:num w:numId="8" w16cid:durableId="1250235187">
    <w:abstractNumId w:val="1"/>
  </w:num>
  <w:num w:numId="9" w16cid:durableId="2025083449">
    <w:abstractNumId w:val="0"/>
  </w:num>
  <w:num w:numId="10" w16cid:durableId="885605436">
    <w:abstractNumId w:val="10"/>
  </w:num>
  <w:num w:numId="11" w16cid:durableId="123887134">
    <w:abstractNumId w:val="11"/>
  </w:num>
  <w:num w:numId="12" w16cid:durableId="1729591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60F3"/>
    <w:rsid w:val="0029639D"/>
    <w:rsid w:val="0031293A"/>
    <w:rsid w:val="00326F90"/>
    <w:rsid w:val="004847EC"/>
    <w:rsid w:val="004D72E4"/>
    <w:rsid w:val="00876FBE"/>
    <w:rsid w:val="00A91F78"/>
    <w:rsid w:val="00AA1D8D"/>
    <w:rsid w:val="00B47730"/>
    <w:rsid w:val="00CB0664"/>
    <w:rsid w:val="00CE1A11"/>
    <w:rsid w:val="00EE4E48"/>
    <w:rsid w:val="00FC693F"/>
    <w:rsid w:val="00FE2C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A88071"/>
  <w14:defaultImageDpi w14:val="300"/>
  <w15:docId w15:val="{1134B3EA-31AD-4114-B69C-3C978DE78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453A"/>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45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1293A"/>
    <w:rPr>
      <w:color w:val="0000FF" w:themeColor="hyperlink"/>
      <w:u w:val="single"/>
    </w:rPr>
  </w:style>
  <w:style w:type="character" w:styleId="UnresolvedMention">
    <w:name w:val="Unresolved Mention"/>
    <w:basedOn w:val="DefaultParagraphFont"/>
    <w:uiPriority w:val="99"/>
    <w:semiHidden/>
    <w:unhideWhenUsed/>
    <w:rsid w:val="003129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rtner.com/en/newsroom/press-releases/2024-11-19-gartner-forecasts-worldwide-public-cloud-end-user-spending-to-total-723-billion-dollars-in-202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gsma.com/mobileeconomy/africa-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886ab1d-51ff-47ab-9e3e-b20b22f1c1b7}" enabled="1" method="Privileged" siteId="{2d65fea0-8478-44f2-ac0f-1a58b1382aa2}" contentBits="0" removed="0"/>
</clbl:labelList>
</file>

<file path=docProps/app.xml><?xml version="1.0" encoding="utf-8"?>
<Properties xmlns="http://schemas.openxmlformats.org/officeDocument/2006/extended-properties" xmlns:vt="http://schemas.openxmlformats.org/officeDocument/2006/docPropsVTypes">
  <Template>Normal</Template>
  <TotalTime>14</TotalTime>
  <Pages>3</Pages>
  <Words>482</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IaaS, PaaS and SaaS: Differences and Use Cases</dc:title>
  <dc:subject>300-word academic reflection on cloud service models from an African fintech perspective</dc:subject>
  <dc:creator>Joseph Nyambok</dc:creator>
  <cp:keywords/>
  <dc:description>generated by python-docx</dc:description>
  <cp:lastModifiedBy>Joseph Nyambok</cp:lastModifiedBy>
  <cp:revision>5</cp:revision>
  <dcterms:created xsi:type="dcterms:W3CDTF">2026-09-25T07:11:00Z</dcterms:created>
  <dcterms:modified xsi:type="dcterms:W3CDTF">2026-10-18T10:29:00Z</dcterms:modified>
  <cp:category/>
</cp:coreProperties>
</file>