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Sales Performance Insights Report</w:t>
      </w:r>
    </w:p>
    <w:p>
      <w:pPr>
        <w:pStyle w:val="Heading2"/>
      </w:pPr>
      <w:r>
        <w:t>1. Overall Summary</w:t>
      </w:r>
    </w:p>
    <w:p>
      <w:r>
        <w:t>The dataset contains 1,329 sales transactions recorded between April and September 2025. The average number of units sold per transaction is approximately 5.6, with an average total revenue of USD 1,353. The top-performing sales representative is Frank, with total revenue of approximately USD 341,635.</w:t>
      </w:r>
    </w:p>
    <w:p>
      <w:pPr>
        <w:pStyle w:val="Heading2"/>
      </w:pPr>
      <w:r>
        <w:t>2. Regional Performance</w:t>
      </w:r>
    </w:p>
    <w:tbl>
      <w:tblPr>
        <w:tblW w:type="auto" w:w="0"/>
        <w:tblLook w:firstColumn="1" w:firstRow="1" w:lastColumn="0" w:lastRow="0" w:noHBand="0" w:noVBand="1" w:val="04A0"/>
      </w:tblPr>
      <w:tblGrid>
        <w:gridCol w:w="2880"/>
        <w:gridCol w:w="2880"/>
        <w:gridCol w:w="2880"/>
      </w:tblGrid>
      <w:tr>
        <w:tc>
          <w:tcPr>
            <w:tcW w:type="dxa" w:w="2880"/>
          </w:tcPr>
          <w:p>
            <w:r>
              <w:t>Region</w:t>
            </w:r>
          </w:p>
        </w:tc>
        <w:tc>
          <w:tcPr>
            <w:tcW w:type="dxa" w:w="2880"/>
          </w:tcPr>
          <w:p>
            <w:r>
              <w:t>Total Revenue (USD)</w:t>
            </w:r>
          </w:p>
        </w:tc>
        <w:tc>
          <w:tcPr>
            <w:tcW w:type="dxa" w:w="2880"/>
          </w:tcPr>
          <w:p>
            <w:r>
              <w:t>Insight</w:t>
            </w:r>
          </w:p>
        </w:tc>
      </w:tr>
      <w:tr>
        <w:tc>
          <w:tcPr>
            <w:tcW w:type="dxa" w:w="2880"/>
          </w:tcPr>
          <w:p>
            <w:r>
              <w:t>South</w:t>
            </w:r>
          </w:p>
        </w:tc>
        <w:tc>
          <w:tcPr>
            <w:tcW w:type="dxa" w:w="2880"/>
          </w:tcPr>
          <w:p>
            <w:r>
              <w:t>485,435</w:t>
            </w:r>
          </w:p>
        </w:tc>
        <w:tc>
          <w:tcPr>
            <w:tcW w:type="dxa" w:w="2880"/>
          </w:tcPr>
          <w:p>
            <w:r>
              <w:t>Best-performing region — accounts for ~26% of total revenue.</w:t>
            </w:r>
          </w:p>
        </w:tc>
      </w:tr>
      <w:tr>
        <w:tc>
          <w:tcPr>
            <w:tcW w:type="dxa" w:w="2880"/>
          </w:tcPr>
          <w:p>
            <w:r>
              <w:t>North</w:t>
            </w:r>
          </w:p>
        </w:tc>
        <w:tc>
          <w:tcPr>
            <w:tcW w:type="dxa" w:w="2880"/>
          </w:tcPr>
          <w:p>
            <w:r>
              <w:t>450,600</w:t>
            </w:r>
          </w:p>
        </w:tc>
        <w:tc>
          <w:tcPr>
            <w:tcW w:type="dxa" w:w="2880"/>
          </w:tcPr>
          <w:p>
            <w:r>
              <w:t>Close second, strong performance in electronics.</w:t>
            </w:r>
          </w:p>
        </w:tc>
      </w:tr>
      <w:tr>
        <w:tc>
          <w:tcPr>
            <w:tcW w:type="dxa" w:w="2880"/>
          </w:tcPr>
          <w:p>
            <w:r>
              <w:t>East</w:t>
            </w:r>
          </w:p>
        </w:tc>
        <w:tc>
          <w:tcPr>
            <w:tcW w:type="dxa" w:w="2880"/>
          </w:tcPr>
          <w:p>
            <w:r>
              <w:t>435,845</w:t>
            </w:r>
          </w:p>
        </w:tc>
        <w:tc>
          <w:tcPr>
            <w:tcW w:type="dxa" w:w="2880"/>
          </w:tcPr>
          <w:p>
            <w:r>
              <w:t>Moderate sales, good product diversity.</w:t>
            </w:r>
          </w:p>
        </w:tc>
      </w:tr>
      <w:tr>
        <w:tc>
          <w:tcPr>
            <w:tcW w:type="dxa" w:w="2880"/>
          </w:tcPr>
          <w:p>
            <w:r>
              <w:t>West</w:t>
            </w:r>
          </w:p>
        </w:tc>
        <w:tc>
          <w:tcPr>
            <w:tcW w:type="dxa" w:w="2880"/>
          </w:tcPr>
          <w:p>
            <w:r>
              <w:t>426,900</w:t>
            </w:r>
          </w:p>
        </w:tc>
        <w:tc>
          <w:tcPr>
            <w:tcW w:type="dxa" w:w="2880"/>
          </w:tcPr>
          <w:p>
            <w:r>
              <w:t>Slightly lagging, potential to improve.</w:t>
            </w:r>
          </w:p>
        </w:tc>
      </w:tr>
    </w:tbl>
    <w:p>
      <w:pPr>
        <w:pStyle w:val="Heading2"/>
      </w:pPr>
      <w:r>
        <w:t>3. Category Insights</w:t>
      </w:r>
    </w:p>
    <w:tbl>
      <w:tblPr>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Total Revenue (USD)</w:t>
            </w:r>
          </w:p>
        </w:tc>
        <w:tc>
          <w:tcPr>
            <w:tcW w:type="dxa" w:w="2880"/>
          </w:tcPr>
          <w:p>
            <w:r>
              <w:t>Contribution</w:t>
            </w:r>
          </w:p>
        </w:tc>
      </w:tr>
      <w:tr>
        <w:tc>
          <w:tcPr>
            <w:tcW w:type="dxa" w:w="2880"/>
          </w:tcPr>
          <w:p>
            <w:r>
              <w:t>Electronics</w:t>
            </w:r>
          </w:p>
        </w:tc>
        <w:tc>
          <w:tcPr>
            <w:tcW w:type="dxa" w:w="2880"/>
          </w:tcPr>
          <w:p>
            <w:r>
              <w:t>970,400</w:t>
            </w:r>
          </w:p>
        </w:tc>
        <w:tc>
          <w:tcPr>
            <w:tcW w:type="dxa" w:w="2880"/>
          </w:tcPr>
          <w:p>
            <w:r>
              <w:t>53.9%</w:t>
            </w:r>
          </w:p>
        </w:tc>
      </w:tr>
      <w:tr>
        <w:tc>
          <w:tcPr>
            <w:tcW w:type="dxa" w:w="2880"/>
          </w:tcPr>
          <w:p>
            <w:r>
              <w:t>Furniture</w:t>
            </w:r>
          </w:p>
        </w:tc>
        <w:tc>
          <w:tcPr>
            <w:tcW w:type="dxa" w:w="2880"/>
          </w:tcPr>
          <w:p>
            <w:r>
              <w:t>421,130</w:t>
            </w:r>
          </w:p>
        </w:tc>
        <w:tc>
          <w:tcPr>
            <w:tcW w:type="dxa" w:w="2880"/>
          </w:tcPr>
          <w:p>
            <w:r>
              <w:t>23.4%</w:t>
            </w:r>
          </w:p>
        </w:tc>
      </w:tr>
      <w:tr>
        <w:tc>
          <w:tcPr>
            <w:tcW w:type="dxa" w:w="2880"/>
          </w:tcPr>
          <w:p>
            <w:r>
              <w:t>Appliances</w:t>
            </w:r>
          </w:p>
        </w:tc>
        <w:tc>
          <w:tcPr>
            <w:tcW w:type="dxa" w:w="2880"/>
          </w:tcPr>
          <w:p>
            <w:r>
              <w:t>407,250</w:t>
            </w:r>
          </w:p>
        </w:tc>
        <w:tc>
          <w:tcPr>
            <w:tcW w:type="dxa" w:w="2880"/>
          </w:tcPr>
          <w:p>
            <w:r>
              <w:t>22.6%</w:t>
            </w:r>
          </w:p>
        </w:tc>
      </w:tr>
    </w:tbl>
    <w:p>
      <w:pPr>
        <w:pStyle w:val="Heading2"/>
      </w:pPr>
      <w:r>
        <w:t>4. Top 10 Products</w:t>
      </w:r>
    </w:p>
    <w:tbl>
      <w:tblPr>
        <w:tblW w:type="auto" w:w="0"/>
        <w:tblLook w:firstColumn="1" w:firstRow="1" w:lastColumn="0" w:lastRow="0" w:noHBand="0" w:noVBand="1" w:val="04A0"/>
      </w:tblPr>
      <w:tblGrid>
        <w:gridCol w:w="2880"/>
        <w:gridCol w:w="2880"/>
        <w:gridCol w:w="2880"/>
      </w:tblGrid>
      <w:tr>
        <w:tc>
          <w:tcPr>
            <w:tcW w:type="dxa" w:w="2880"/>
          </w:tcPr>
          <w:p>
            <w:r>
              <w:t>Rank</w:t>
            </w:r>
          </w:p>
        </w:tc>
        <w:tc>
          <w:tcPr>
            <w:tcW w:type="dxa" w:w="2880"/>
          </w:tcPr>
          <w:p>
            <w:r>
              <w:t>Product</w:t>
            </w:r>
          </w:p>
        </w:tc>
        <w:tc>
          <w:tcPr>
            <w:tcW w:type="dxa" w:w="2880"/>
          </w:tcPr>
          <w:p>
            <w:r>
              <w:t>Total Revenue (USD)</w:t>
            </w:r>
          </w:p>
        </w:tc>
      </w:tr>
      <w:tr>
        <w:tc>
          <w:tcPr>
            <w:tcW w:type="dxa" w:w="2880"/>
          </w:tcPr>
          <w:p>
            <w:r>
              <w:t>1</w:t>
            </w:r>
          </w:p>
        </w:tc>
        <w:tc>
          <w:tcPr>
            <w:tcW w:type="dxa" w:w="2880"/>
          </w:tcPr>
          <w:p>
            <w:r>
              <w:t>Laptop</w:t>
            </w:r>
          </w:p>
        </w:tc>
        <w:tc>
          <w:tcPr>
            <w:tcW w:type="dxa" w:w="2880"/>
          </w:tcPr>
          <w:p>
            <w:r>
              <w:t>551,600</w:t>
            </w:r>
          </w:p>
        </w:tc>
      </w:tr>
      <w:tr>
        <w:tc>
          <w:tcPr>
            <w:tcW w:type="dxa" w:w="2880"/>
          </w:tcPr>
          <w:p>
            <w:r>
              <w:t>2</w:t>
            </w:r>
          </w:p>
        </w:tc>
        <w:tc>
          <w:tcPr>
            <w:tcW w:type="dxa" w:w="2880"/>
          </w:tcPr>
          <w:p>
            <w:r>
              <w:t>Smartphone</w:t>
            </w:r>
          </w:p>
        </w:tc>
        <w:tc>
          <w:tcPr>
            <w:tcW w:type="dxa" w:w="2880"/>
          </w:tcPr>
          <w:p>
            <w:r>
              <w:t>380,000</w:t>
            </w:r>
          </w:p>
        </w:tc>
      </w:tr>
      <w:tr>
        <w:tc>
          <w:tcPr>
            <w:tcW w:type="dxa" w:w="2880"/>
          </w:tcPr>
          <w:p>
            <w:r>
              <w:t>3</w:t>
            </w:r>
          </w:p>
        </w:tc>
        <w:tc>
          <w:tcPr>
            <w:tcW w:type="dxa" w:w="2880"/>
          </w:tcPr>
          <w:p>
            <w:r>
              <w:t>Office Desk</w:t>
            </w:r>
          </w:p>
        </w:tc>
        <w:tc>
          <w:tcPr>
            <w:tcW w:type="dxa" w:w="2880"/>
          </w:tcPr>
          <w:p>
            <w:r>
              <w:t>232,400</w:t>
            </w:r>
          </w:p>
        </w:tc>
      </w:tr>
      <w:tr>
        <w:tc>
          <w:tcPr>
            <w:tcW w:type="dxa" w:w="2880"/>
          </w:tcPr>
          <w:p>
            <w:r>
              <w:t>4</w:t>
            </w:r>
          </w:p>
        </w:tc>
        <w:tc>
          <w:tcPr>
            <w:tcW w:type="dxa" w:w="2880"/>
          </w:tcPr>
          <w:p>
            <w:r>
              <w:t>Desk Chair</w:t>
            </w:r>
          </w:p>
        </w:tc>
        <w:tc>
          <w:tcPr>
            <w:tcW w:type="dxa" w:w="2880"/>
          </w:tcPr>
          <w:p>
            <w:r>
              <w:t>158,400</w:t>
            </w:r>
          </w:p>
        </w:tc>
      </w:tr>
      <w:tr>
        <w:tc>
          <w:tcPr>
            <w:tcW w:type="dxa" w:w="2880"/>
          </w:tcPr>
          <w:p>
            <w:r>
              <w:t>5</w:t>
            </w:r>
          </w:p>
        </w:tc>
        <w:tc>
          <w:tcPr>
            <w:tcW w:type="dxa" w:w="2880"/>
          </w:tcPr>
          <w:p>
            <w:r>
              <w:t>Air Fryer</w:t>
            </w:r>
          </w:p>
        </w:tc>
        <w:tc>
          <w:tcPr>
            <w:tcW w:type="dxa" w:w="2880"/>
          </w:tcPr>
          <w:p>
            <w:r>
              <w:t>141,120</w:t>
            </w:r>
          </w:p>
        </w:tc>
      </w:tr>
      <w:tr>
        <w:tc>
          <w:tcPr>
            <w:tcW w:type="dxa" w:w="2880"/>
          </w:tcPr>
          <w:p>
            <w:r>
              <w:t>6</w:t>
            </w:r>
          </w:p>
        </w:tc>
        <w:tc>
          <w:tcPr>
            <w:tcW w:type="dxa" w:w="2880"/>
          </w:tcPr>
          <w:p>
            <w:r>
              <w:t>Microwave</w:t>
            </w:r>
          </w:p>
        </w:tc>
        <w:tc>
          <w:tcPr>
            <w:tcW w:type="dxa" w:w="2880"/>
          </w:tcPr>
          <w:p>
            <w:r>
              <w:t>109,200</w:t>
            </w:r>
          </w:p>
        </w:tc>
      </w:tr>
      <w:tr>
        <w:tc>
          <w:tcPr>
            <w:tcW w:type="dxa" w:w="2880"/>
          </w:tcPr>
          <w:p>
            <w:r>
              <w:t>7</w:t>
            </w:r>
          </w:p>
        </w:tc>
        <w:tc>
          <w:tcPr>
            <w:tcW w:type="dxa" w:w="2880"/>
          </w:tcPr>
          <w:p>
            <w:r>
              <w:t>Coffee Maker</w:t>
            </w:r>
          </w:p>
        </w:tc>
        <w:tc>
          <w:tcPr>
            <w:tcW w:type="dxa" w:w="2880"/>
          </w:tcPr>
          <w:p>
            <w:r>
              <w:t>96,000</w:t>
            </w:r>
          </w:p>
        </w:tc>
      </w:tr>
      <w:tr>
        <w:tc>
          <w:tcPr>
            <w:tcW w:type="dxa" w:w="2880"/>
          </w:tcPr>
          <w:p>
            <w:r>
              <w:t>8</w:t>
            </w:r>
          </w:p>
        </w:tc>
        <w:tc>
          <w:tcPr>
            <w:tcW w:type="dxa" w:w="2880"/>
          </w:tcPr>
          <w:p>
            <w:r>
              <w:t>Blender</w:t>
            </w:r>
          </w:p>
        </w:tc>
        <w:tc>
          <w:tcPr>
            <w:tcW w:type="dxa" w:w="2880"/>
          </w:tcPr>
          <w:p>
            <w:r>
              <w:t>60,930</w:t>
            </w:r>
          </w:p>
        </w:tc>
      </w:tr>
      <w:tr>
        <w:tc>
          <w:tcPr>
            <w:tcW w:type="dxa" w:w="2880"/>
          </w:tcPr>
          <w:p>
            <w:r>
              <w:t>9</w:t>
            </w:r>
          </w:p>
        </w:tc>
        <w:tc>
          <w:tcPr>
            <w:tcW w:type="dxa" w:w="2880"/>
          </w:tcPr>
          <w:p>
            <w:r>
              <w:t>Headphones</w:t>
            </w:r>
          </w:p>
        </w:tc>
        <w:tc>
          <w:tcPr>
            <w:tcW w:type="dxa" w:w="2880"/>
          </w:tcPr>
          <w:p>
            <w:r>
              <w:t>38,800</w:t>
            </w:r>
          </w:p>
        </w:tc>
      </w:tr>
      <w:tr>
        <w:tc>
          <w:tcPr>
            <w:tcW w:type="dxa" w:w="2880"/>
          </w:tcPr>
          <w:p>
            <w:r>
              <w:t>10</w:t>
            </w:r>
          </w:p>
        </w:tc>
        <w:tc>
          <w:tcPr>
            <w:tcW w:type="dxa" w:w="2880"/>
          </w:tcPr>
          <w:p>
            <w:r>
              <w:t>LED Lamp</w:t>
            </w:r>
          </w:p>
        </w:tc>
        <w:tc>
          <w:tcPr>
            <w:tcW w:type="dxa" w:w="2880"/>
          </w:tcPr>
          <w:p>
            <w:r>
              <w:t>30,330</w:t>
            </w:r>
          </w:p>
        </w:tc>
      </w:tr>
    </w:tbl>
    <w:p>
      <w:pPr>
        <w:pStyle w:val="Heading2"/>
      </w:pPr>
      <w:r>
        <w:t>5. Monthly Sales Trend</w:t>
      </w:r>
    </w:p>
    <w:p>
      <w:r>
        <w:t>Sep: USD 333,200</w:t>
      </w:r>
    </w:p>
    <w:p>
      <w:r>
        <w:t>Jul: USD 313,930</w:t>
      </w:r>
    </w:p>
    <w:p>
      <w:r>
        <w:t>Apr: USD 306,815</w:t>
      </w:r>
    </w:p>
    <w:p>
      <w:r>
        <w:t>Aug: USD 295,650</w:t>
      </w:r>
    </w:p>
    <w:p>
      <w:r>
        <w:t>May: USD 276,725</w:t>
      </w:r>
    </w:p>
    <w:p>
      <w:r>
        <w:t>Jun: USD 272,460</w:t>
      </w:r>
    </w:p>
    <w:p>
      <w:pPr>
        <w:pStyle w:val="Heading2"/>
      </w:pPr>
      <w:r>
        <w:t>6. Top Sales Representatives</w:t>
      </w:r>
    </w:p>
    <w:tbl>
      <w:tblPr>
        <w:tblW w:type="auto" w:w="0"/>
        <w:tblLook w:firstColumn="1" w:firstRow="1" w:lastColumn="0" w:lastRow="0" w:noHBand="0" w:noVBand="1" w:val="04A0"/>
      </w:tblPr>
      <w:tblGrid>
        <w:gridCol w:w="2880"/>
        <w:gridCol w:w="2880"/>
        <w:gridCol w:w="2880"/>
      </w:tblGrid>
      <w:tr>
        <w:tc>
          <w:tcPr>
            <w:tcW w:type="dxa" w:w="2880"/>
          </w:tcPr>
          <w:p>
            <w:r>
              <w:t>Rank</w:t>
            </w:r>
          </w:p>
        </w:tc>
        <w:tc>
          <w:tcPr>
            <w:tcW w:type="dxa" w:w="2880"/>
          </w:tcPr>
          <w:p>
            <w:r>
              <w:t>Sales Rep</w:t>
            </w:r>
          </w:p>
        </w:tc>
        <w:tc>
          <w:tcPr>
            <w:tcW w:type="dxa" w:w="2880"/>
          </w:tcPr>
          <w:p>
            <w:r>
              <w:t>Total Revenue (USD)</w:t>
            </w:r>
          </w:p>
        </w:tc>
      </w:tr>
      <w:tr>
        <w:tc>
          <w:tcPr>
            <w:tcW w:type="dxa" w:w="2880"/>
          </w:tcPr>
          <w:p>
            <w:r>
              <w:t>1</w:t>
            </w:r>
          </w:p>
        </w:tc>
        <w:tc>
          <w:tcPr>
            <w:tcW w:type="dxa" w:w="2880"/>
          </w:tcPr>
          <w:p>
            <w:r>
              <w:t>Frank</w:t>
            </w:r>
          </w:p>
        </w:tc>
        <w:tc>
          <w:tcPr>
            <w:tcW w:type="dxa" w:w="2880"/>
          </w:tcPr>
          <w:p>
            <w:r>
              <w:t>341,635</w:t>
            </w:r>
          </w:p>
        </w:tc>
      </w:tr>
      <w:tr>
        <w:tc>
          <w:tcPr>
            <w:tcW w:type="dxa" w:w="2880"/>
          </w:tcPr>
          <w:p>
            <w:r>
              <w:t>2</w:t>
            </w:r>
          </w:p>
        </w:tc>
        <w:tc>
          <w:tcPr>
            <w:tcW w:type="dxa" w:w="2880"/>
          </w:tcPr>
          <w:p>
            <w:r>
              <w:t>Carol</w:t>
            </w:r>
          </w:p>
        </w:tc>
        <w:tc>
          <w:tcPr>
            <w:tcW w:type="dxa" w:w="2880"/>
          </w:tcPr>
          <w:p>
            <w:r>
              <w:t>317,845</w:t>
            </w:r>
          </w:p>
        </w:tc>
      </w:tr>
      <w:tr>
        <w:tc>
          <w:tcPr>
            <w:tcW w:type="dxa" w:w="2880"/>
          </w:tcPr>
          <w:p>
            <w:r>
              <w:t>3</w:t>
            </w:r>
          </w:p>
        </w:tc>
        <w:tc>
          <w:tcPr>
            <w:tcW w:type="dxa" w:w="2880"/>
          </w:tcPr>
          <w:p>
            <w:r>
              <w:t>Ben</w:t>
            </w:r>
          </w:p>
        </w:tc>
        <w:tc>
          <w:tcPr>
            <w:tcW w:type="dxa" w:w="2880"/>
          </w:tcPr>
          <w:p>
            <w:r>
              <w:t>316,685</w:t>
            </w:r>
          </w:p>
        </w:tc>
      </w:tr>
      <w:tr>
        <w:tc>
          <w:tcPr>
            <w:tcW w:type="dxa" w:w="2880"/>
          </w:tcPr>
          <w:p>
            <w:r>
              <w:t>4</w:t>
            </w:r>
          </w:p>
        </w:tc>
        <w:tc>
          <w:tcPr>
            <w:tcW w:type="dxa" w:w="2880"/>
          </w:tcPr>
          <w:p>
            <w:r>
              <w:t>David</w:t>
            </w:r>
          </w:p>
        </w:tc>
        <w:tc>
          <w:tcPr>
            <w:tcW w:type="dxa" w:w="2880"/>
          </w:tcPr>
          <w:p>
            <w:r>
              <w:t>293,660</w:t>
            </w:r>
          </w:p>
        </w:tc>
      </w:tr>
      <w:tr>
        <w:tc>
          <w:tcPr>
            <w:tcW w:type="dxa" w:w="2880"/>
          </w:tcPr>
          <w:p>
            <w:r>
              <w:t>5</w:t>
            </w:r>
          </w:p>
        </w:tc>
        <w:tc>
          <w:tcPr>
            <w:tcW w:type="dxa" w:w="2880"/>
          </w:tcPr>
          <w:p>
            <w:r>
              <w:t>Ella</w:t>
            </w:r>
          </w:p>
        </w:tc>
        <w:tc>
          <w:tcPr>
            <w:tcW w:type="dxa" w:w="2880"/>
          </w:tcPr>
          <w:p>
            <w:r>
              <w:t>284,005</w:t>
            </w:r>
          </w:p>
        </w:tc>
      </w:tr>
      <w:tr>
        <w:tc>
          <w:tcPr>
            <w:tcW w:type="dxa" w:w="2880"/>
          </w:tcPr>
          <w:p>
            <w:r>
              <w:t>6</w:t>
            </w:r>
          </w:p>
        </w:tc>
        <w:tc>
          <w:tcPr>
            <w:tcW w:type="dxa" w:w="2880"/>
          </w:tcPr>
          <w:p>
            <w:r>
              <w:t>Alice</w:t>
            </w:r>
          </w:p>
        </w:tc>
        <w:tc>
          <w:tcPr>
            <w:tcW w:type="dxa" w:w="2880"/>
          </w:tcPr>
          <w:p>
            <w:r>
              <w:t>244,950</w:t>
            </w:r>
          </w:p>
        </w:tc>
      </w:tr>
    </w:tbl>
    <w:p>
      <w:pPr>
        <w:pStyle w:val="Heading2"/>
      </w:pPr>
      <w:r>
        <w:t>7. Actionable Insights</w:t>
      </w:r>
    </w:p>
    <w:p>
      <w:r>
        <w:t>• Scale high-performing regions (South &amp; North) by allocating more marketing and stock resources.</w:t>
      </w:r>
    </w:p>
    <w:p>
      <w:r>
        <w:t>• Promote top products (Laptops, Smartphones) with bundled offers to increase average order value.</w:t>
      </w:r>
    </w:p>
    <w:p>
      <w:r>
        <w:t>• Target weaker months (May–June) with discounts or seasonal campaigns.</w:t>
      </w:r>
    </w:p>
    <w:p>
      <w:r>
        <w:t>• Train sales reps using top performers’ strategies (Frank &amp; Carol).</w:t>
      </w:r>
    </w:p>
    <w:p>
      <w:r>
        <w:t>• Diversify product mix — expand the Electronics category due to strong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