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NORMA BRASILEIRA DE CONTABILIDADE, ITG 23, DE 19 DE DEZEMBRO DE 2018 </w:t>
        <w:b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Aprova, </w:t>
      </w:r>
      <w:r>
        <w:rPr>
          <w:i/>
        </w:rPr>
        <w:t>ad referendum</w:t>
      </w:r>
      <w:r>
        <w:rPr/>
        <w:t xml:space="preserve"> do Plenário, a </w:t>
        <w:br/>
        <w:t xml:space="preserve">Interpretação ITG 23 – Aplicação da </w:t>
        <w:br/>
        <w:t xml:space="preserve">Abordagem de Atualização Monetária </w:t>
        <w:br/>
        <w:t xml:space="preserve">Prevista na NBC TG 42.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 </w:t>
      </w:r>
      <w:r>
        <w:rPr>
          <w:b/>
        </w:rPr>
        <w:t>CONSELHO FEDERAL DE CONTABILIDADE</w:t>
      </w:r>
      <w:r>
        <w:rPr/>
        <w:t xml:space="preserve">, no exercício de suas </w:t>
        <w:br/>
        <w:t xml:space="preserve">atribuições legais e regimentais e com fundamento no disposto na alínea “f” do Art. 6º do </w:t>
        <w:br/>
        <w:t xml:space="preserve">Decreto-Lei n.º 9.295/1946, alterado pela Lei n.º 12.249/2010, faz saber que foi aprovada </w:t>
        <w:br/>
      </w:r>
      <w:r>
        <w:rPr>
          <w:i/>
        </w:rPr>
        <w:t>ad referendum</w:t>
      </w:r>
      <w:r>
        <w:rPr/>
        <w:t xml:space="preserve"> do Plenário a seguinte Norma Brasileira de Contabilidade (NBC), </w:t>
        <w:br/>
        <w:t xml:space="preserve">elaborada de acordo com a sua equivalente internacional Ifric 7 do Iasb: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ITG 23</w:t>
      </w:r>
      <w:r>
        <w:rPr/>
        <w:t xml:space="preserve"> – </w:t>
      </w:r>
      <w:r>
        <w:rPr>
          <w:b/>
        </w:rPr>
        <w:t xml:space="preserve">APLICAÇÃO DA ABORDAGEM DE ATUALIZAÇÃO MONETÁRIA PREVISTA NA NBC </w:t>
        <w:br/>
        <w:t xml:space="preserve">TG 42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</w:r>
      <w:r>
        <w:rPr/>
        <w:t xml:space="preserve">Sumário Item </w:t>
        <w:br/>
      </w:r>
      <w:r>
        <w:rPr>
          <w:b/>
        </w:rPr>
        <w:t xml:space="preserve">REFERÊNCIAS </w:t>
        <w:br/>
        <w:t xml:space="preserve">CONTEXTO 1 </w:t>
        <w:br/>
        <w:t xml:space="preserve">QUESTÕES 2 </w:t>
        <w:br/>
        <w:t xml:space="preserve">CONSENSO 3 – 5 </w:t>
        <w:br/>
        <w:t xml:space="preserve">VIGÊNCIA 6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br/>
        <w:t xml:space="preserve">Referências </w:t>
      </w:r>
    </w:p>
    <w:p>
      <w:pPr>
        <w:pStyle w:val="TextBody"/>
        <w:bidi w:val="0"/>
        <w:jc w:val="left"/>
        <w:rPr>
          <w:i/>
        </w:rPr>
      </w:pPr>
      <w:r>
        <w:rPr/>
        <w:t xml:space="preserve"> </w:t>
      </w:r>
      <w:r>
        <w:rPr/>
        <w:t xml:space="preserve">NBC TG 32 – Tributos sobre o Lucro </w:t>
        <w:br/>
        <w:t xml:space="preserve"> NBC TG 42 – Contabilidade em Economia Hiperinflacionária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Contexto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1. Esta Interpretação fornece orientação sobre como aplicar os requisitos da NBC TG 42 em </w:t>
        <w:br/>
        <w:t xml:space="preserve">período de relatório em que a entidade identifica1 a existência de hiperinflação na economia </w:t>
        <w:br/>
        <w:t xml:space="preserve">de sua moeda funcional, que não era hiperinflacionária no período anterior, e a entidade, </w:t>
        <w:br/>
        <w:t xml:space="preserve">portanto, atualiza monetariamente suas demonstrações contábeis de acordo com a NBC TG </w:t>
        <w:br/>
        <w:t xml:space="preserve">42.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Questões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2. As questões tratadas nesta Interpretação são: </w:t>
        <w:br/>
        <w:t xml:space="preserve">(a) como o requisito “... apresentados em termos de unidade de mensuração corrente no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final do período de relatório” no item 8 da NBC TG 42 deve ser interpretado quando a </w:t>
        <w:br/>
        <w:t xml:space="preserve">entidade aplica a norma?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como a entidade deve contabilizar itens de impostos diferidos de abertura em suas </w:t>
        <w:br/>
        <w:t xml:space="preserve">demonstrações contábeis atualizadas monetariamente?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Consenso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>1</w:t>
        <w:br/>
        <w:t xml:space="preserve">A identificação de hiperinflação é baseada no julgamento da entidade pelos critérios do item 3 da NBC TG 42.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3. No período de relatório em que a entidade identifica a existência de hiperinflação na </w:t>
        <w:br/>
        <w:t xml:space="preserve">economia de sua moeda funcional, que não era hiperinflacionária no período anterior, a </w:t>
        <w:br/>
        <w:t xml:space="preserve">entidade deve aplicar os requisitos da NBC TG 42 como se a economia tivesse sempre sido </w:t>
        <w:br/>
        <w:t xml:space="preserve">hiperinflacionária. Portanto, em relação a itens não monetários mensurados ao custo </w:t>
        <w:br/>
        <w:t xml:space="preserve">histórico, o balanço patrimonial de abertura da entidade, no início do período mais antigo </w:t>
        <w:br/>
        <w:t xml:space="preserve">apresentado nas demonstrações contábeis, deve ser atualizado monetariamente para refletir </w:t>
        <w:br/>
        <w:t xml:space="preserve">o efeito da inflação a partir da data em que os ativos foram adquiridos e os passivos </w:t>
        <w:br/>
        <w:t xml:space="preserve">incorridos ou assumidos até o final do período de relatório. Para itens não monetários </w:t>
        <w:br/>
        <w:t xml:space="preserve">reconhecidos no balanço patrimonial de abertura a valores correntes em datas que não </w:t>
        <w:br/>
        <w:t xml:space="preserve">sejam as datas em que os ativos foram adquiridos ou os passivos incorridos, essa atualização </w:t>
        <w:br/>
        <w:t xml:space="preserve">monetária deve refletir o efeito da inflação a partir das datas em que esses valores contábeis </w:t>
        <w:br/>
        <w:t xml:space="preserve">foram determinados até o final do período de relatório.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4. No final do período de relatório, os itens de impostos diferidos devem ser reconhecidos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mensurados de acordo com a NBC TG 32. Porém, os valores de impostos diferidos no </w:t>
        <w:br/>
        <w:t xml:space="preserve">balanço patrimonial de abertura do período de relatório devem ser determinados da seguinte </w:t>
        <w:br/>
        <w:t xml:space="preserve">forma: </w:t>
        <w:br/>
        <w:t xml:space="preserve">(a) a entidade remensura os itens de impostos diferidos de acordo com a NBC TG 32, após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ter atualizado monetariamente os valores contábeis nominais de seus itens não </w:t>
        <w:br/>
        <w:t xml:space="preserve">monetários na data do balanço patrimonial de abertura do período de relatório, </w:t>
        <w:br/>
        <w:t xml:space="preserve">aplicando a unidade de mensuração nessa data;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os itens de impostos diferidos remensurados de acordo com a alínea (a) devem ser </w:t>
        <w:br/>
        <w:t xml:space="preserve">atualizados monetariamente devido à mudança na unidade de mensuração a partir da </w:t>
        <w:br/>
        <w:t xml:space="preserve">data do balanço patrimonial de abertura do período de relatório até o final desse período </w:t>
        <w:br/>
        <w:t xml:space="preserve">de relatório.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 entidade aplica a abordagem das alíneas (a) e (b) na atualização monetária de itens de </w:t>
        <w:br/>
        <w:t xml:space="preserve">impostos diferidos no balanço patrimonial de abertura de quaisquer períodos comparativos </w:t>
        <w:br/>
        <w:t xml:space="preserve">apresentados nas demonstrações contábeis atualizadas monetariamente do período de </w:t>
        <w:br/>
        <w:t xml:space="preserve">relatório em que a entidade aplica a NBC TG 42.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5. Após a entidade ter atualizado monetariamente suas demonstrações contábeis, todos os </w:t>
        <w:br/>
        <w:t xml:space="preserve">valores correspondentes nas demonstrações contábeis para o período de relatório </w:t>
        <w:br/>
        <w:t xml:space="preserve">subsequente, incluindo itens de impostos diferidos, devem ser atualizados monetariamente </w:t>
        <w:br/>
        <w:t xml:space="preserve">aplicando-se a mudança na unidade de mensuração para esse período de relatório </w:t>
        <w:br/>
        <w:t xml:space="preserve">subsequente somente às demonstrações contábeis atualizadas monetariamente do período </w:t>
        <w:br/>
        <w:t xml:space="preserve">de relatório anterior.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Vigência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6. Esta Interpretação entra em vigor na data de sua publicação, aplicando-se aos exercícios </w:t>
        <w:br/>
        <w:t xml:space="preserve">iniciados em, ou após, 1º de janeiro de 2018.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Brasília (DF), 19 de dezembro de 2018. </w:t>
        <w:b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Contador Zulmir Ivânio Breda </w:t>
        <w:br/>
        <w:t xml:space="preserve">Presidente </w:t>
      </w:r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 Unicode MS">
    <w:charset w:val="01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al Unicode MS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Liberation Sans Unicode MS" w:hAnsi="Liberation Sans Unicode MS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1134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">
    <w:name w:val="List"/>
    <w:basedOn w:val="TextBody"/>
    <w:pPr/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LibreOffice/7.4.7.2$Linux_AARCH64 LibreOffice_project/40$Build-2</Application>
  <AppVersion>15.0000</AppVersion>
  <Pages>2</Pages>
  <Words>711</Words>
  <Characters>3859</Characters>
  <CharactersWithSpaces>4636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