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533" w:hRule="atLeast"/>
        </w:trPr>
        <w:tc>
          <w:tcPr>
            <w:tcW w:w="3920" w:type="dxa"/>
            <w:gridSpan w:val="2"/>
            <w:tcBorders>
              <w:bottom w:val="single" w:sz="8" w:space="0" w:color="A5A5A5"/>
            </w:tcBorders>
          </w:tcPr>
          <w:p>
            <w:pPr>
              <w:pStyle w:val="TableParagraph"/>
              <w:spacing w:before="107"/>
              <w:ind w:left="0" w:right="44"/>
              <w:jc w:val="center"/>
              <w:rPr>
                <w:rFonts w:ascii="Helvetica Neue"/>
                <w:sz w:val="24"/>
              </w:rPr>
            </w:pPr>
            <w:r>
              <w:rPr>
                <w:rFonts w:ascii="Helvetica Neue"/>
                <w:spacing w:val="-2"/>
                <w:sz w:val="24"/>
              </w:rPr>
              <w:t>INDICE</w:t>
            </w:r>
          </w:p>
        </w:tc>
      </w:tr>
      <w:tr>
        <w:trPr>
          <w:trHeight w:val="590" w:hRule="atLeast"/>
        </w:trPr>
        <w:tc>
          <w:tcPr>
            <w:tcW w:w="1960" w:type="dxa"/>
            <w:tcBorders>
              <w:top w:val="single" w:sz="8" w:space="0" w:color="A5A5A5"/>
              <w:left w:val="single" w:sz="8" w:space="0" w:color="A5A5A5"/>
              <w:bottom w:val="single" w:sz="8" w:space="0" w:color="3F3F3F"/>
              <w:right w:val="single" w:sz="8" w:space="0" w:color="A5A5A5"/>
            </w:tcBorders>
          </w:tcPr>
          <w:p>
            <w:pPr>
              <w:pStyle w:val="TableParagraph"/>
              <w:spacing w:before="136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Arquivo</w:t>
            </w:r>
          </w:p>
        </w:tc>
        <w:tc>
          <w:tcPr>
            <w:tcW w:w="1960" w:type="dxa"/>
            <w:tcBorders>
              <w:top w:val="single" w:sz="8" w:space="0" w:color="A5A5A5"/>
              <w:left w:val="single" w:sz="8" w:space="0" w:color="A5A5A5"/>
              <w:bottom w:val="single" w:sz="8" w:space="0" w:color="3F3F3F"/>
              <w:right w:val="single" w:sz="8" w:space="0" w:color="A5A5A5"/>
            </w:tcBorders>
          </w:tcPr>
          <w:p>
            <w:pPr>
              <w:pStyle w:val="TableParagraph"/>
              <w:spacing w:line="242" w:lineRule="auto"/>
              <w:ind w:left="446" w:firstLine="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 Semântica</w:t>
            </w:r>
          </w:p>
        </w:tc>
      </w:tr>
      <w:tr>
        <w:trPr>
          <w:trHeight w:val="2550" w:hRule="atLeast"/>
        </w:trPr>
        <w:tc>
          <w:tcPr>
            <w:tcW w:w="1960" w:type="dxa"/>
            <w:tcBorders>
              <w:top w:val="single" w:sz="8" w:space="0" w:color="3F3F3F"/>
              <w:left w:val="single" w:sz="8" w:space="0" w:color="A5A5A5"/>
              <w:bottom w:val="single" w:sz="8" w:space="0" w:color="A5A5A5"/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48"/>
              <w:ind w:right="88"/>
              <w:rPr>
                <w:sz w:val="24"/>
              </w:rPr>
            </w:pPr>
            <w:r>
              <w:rPr>
                <w:spacing w:val="-2"/>
                <w:sz w:val="24"/>
              </w:rPr>
              <w:t>102_ICPC_10.doc </w:t>
            </w: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960" w:type="dxa"/>
            <w:tcBorders>
              <w:top w:val="single" w:sz="8" w:space="0" w:color="3F3F3F"/>
              <w:left w:val="single" w:sz="8" w:space="0" w:color="3F3F3F"/>
              <w:bottom w:val="single" w:sz="8" w:space="0" w:color="A5A5A5"/>
              <w:right w:val="single" w:sz="8" w:space="0" w:color="A5A5A5"/>
            </w:tcBorders>
          </w:tcPr>
          <w:p>
            <w:pPr>
              <w:pStyle w:val="TableParagraph"/>
              <w:spacing w:line="242" w:lineRule="auto"/>
              <w:ind w:right="159"/>
              <w:rPr>
                <w:sz w:val="24"/>
              </w:rPr>
            </w:pPr>
            <w:r>
              <w:rPr>
                <w:spacing w:val="-2"/>
                <w:sz w:val="24"/>
              </w:rPr>
              <w:t>Documento </w:t>
            </w:r>
            <w:r>
              <w:rPr>
                <w:sz w:val="24"/>
              </w:rPr>
              <w:t>técnico ICPC 10, que interpreta a aplicação inicial das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CPCs sobre ativo imobilizado e propriedade para </w:t>
            </w:r>
            <w:r>
              <w:rPr>
                <w:spacing w:val="-2"/>
                <w:sz w:val="24"/>
              </w:rPr>
              <w:t>investimento.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48"/>
              <w:rPr>
                <w:sz w:val="24"/>
              </w:rPr>
            </w:pPr>
            <w:r>
              <w:rPr>
                <w:spacing w:val="-2"/>
                <w:sz w:val="24"/>
              </w:rPr>
              <w:t>27_CPC_01_R1_r </w:t>
            </w:r>
            <w:r>
              <w:rPr>
                <w:sz w:val="24"/>
              </w:rPr>
              <w:t>ev 12.docx</w:t>
            </w:r>
          </w:p>
        </w:tc>
        <w:tc>
          <w:tcPr>
            <w:tcW w:w="1960" w:type="dxa"/>
            <w:tcBorders>
              <w:top w:val="single" w:sz="8" w:space="0" w:color="A5A5A5"/>
              <w:left w:val="single" w:sz="8" w:space="0" w:color="3F3F3F"/>
              <w:bottom w:val="single" w:sz="8" w:space="0" w:color="A5A5A5"/>
              <w:right w:val="single" w:sz="8" w:space="0" w:color="A5A5A5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Revisão do </w:t>
            </w:r>
            <w:r>
              <w:rPr>
                <w:spacing w:val="-2"/>
                <w:sz w:val="24"/>
              </w:rPr>
              <w:t>pronunciamento </w:t>
            </w:r>
            <w:r>
              <w:rPr>
                <w:sz w:val="24"/>
              </w:rPr>
              <w:t>CPC 01,</w:t>
            </w:r>
          </w:p>
          <w:p>
            <w:pPr>
              <w:pStyle w:val="TableParagraph"/>
              <w:spacing w:line="242" w:lineRule="auto"/>
              <w:ind w:right="88"/>
              <w:rPr>
                <w:sz w:val="24"/>
              </w:rPr>
            </w:pPr>
            <w:r>
              <w:rPr>
                <w:sz w:val="24"/>
              </w:rPr>
              <w:t>abordando a </w:t>
            </w:r>
            <w:r>
              <w:rPr>
                <w:spacing w:val="-2"/>
                <w:sz w:val="24"/>
              </w:rPr>
              <w:t>estrutura </w:t>
            </w:r>
            <w:r>
              <w:rPr>
                <w:sz w:val="24"/>
              </w:rPr>
              <w:t>conceitual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regras de relatórios contábeis no </w:t>
            </w:r>
            <w:r>
              <w:rPr>
                <w:spacing w:val="-2"/>
                <w:sz w:val="24"/>
              </w:rPr>
              <w:t>Brasil.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62_CPC_02_R2_r </w:t>
            </w:r>
            <w:r>
              <w:rPr>
                <w:sz w:val="24"/>
              </w:rPr>
              <w:t>ev 13.docx</w:t>
            </w:r>
          </w:p>
        </w:tc>
        <w:tc>
          <w:tcPr>
            <w:tcW w:w="1960" w:type="dxa"/>
            <w:tcBorders>
              <w:top w:val="single" w:sz="8" w:space="0" w:color="A5A5A5"/>
              <w:left w:val="single" w:sz="8" w:space="0" w:color="3F3F3F"/>
              <w:bottom w:val="single" w:sz="8" w:space="0" w:color="A5A5A5"/>
              <w:right w:val="single" w:sz="8" w:space="0" w:color="A5A5A5"/>
            </w:tcBorders>
          </w:tcPr>
          <w:p>
            <w:pPr>
              <w:pStyle w:val="TableParagraph"/>
              <w:spacing w:line="242" w:lineRule="auto"/>
              <w:ind w:right="75"/>
              <w:rPr>
                <w:sz w:val="24"/>
              </w:rPr>
            </w:pPr>
            <w:r>
              <w:rPr>
                <w:sz w:val="24"/>
              </w:rPr>
              <w:t>Revisão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técnica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 CPC 02, que trata dos efeitos de mudanças nas taxas de câmbio e conversão de </w:t>
            </w:r>
            <w:r>
              <w:rPr>
                <w:spacing w:val="-2"/>
                <w:sz w:val="24"/>
              </w:rPr>
              <w:t>demonstrações contábeis.</w:t>
            </w:r>
          </w:p>
        </w:tc>
      </w:tr>
      <w:tr>
        <w:trPr>
          <w:trHeight w:val="2266" w:hRule="atLeast"/>
        </w:trPr>
        <w:tc>
          <w:tcPr>
            <w:tcW w:w="196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66_ICPC_01_rev 14.docx</w:t>
            </w:r>
          </w:p>
        </w:tc>
        <w:tc>
          <w:tcPr>
            <w:tcW w:w="1960" w:type="dxa"/>
            <w:tcBorders>
              <w:top w:val="single" w:sz="8" w:space="0" w:color="A5A5A5"/>
              <w:left w:val="single" w:sz="8" w:space="0" w:color="3F3F3F"/>
              <w:bottom w:val="single" w:sz="8" w:space="0" w:color="A5A5A5"/>
              <w:right w:val="single" w:sz="8" w:space="0" w:color="A5A5A5"/>
            </w:tcBorders>
          </w:tcPr>
          <w:p>
            <w:pPr>
              <w:pStyle w:val="TableParagraph"/>
              <w:spacing w:line="242" w:lineRule="auto"/>
              <w:ind w:right="212"/>
              <w:rPr>
                <w:sz w:val="24"/>
              </w:rPr>
            </w:pPr>
            <w:r>
              <w:rPr>
                <w:spacing w:val="-2"/>
                <w:sz w:val="24"/>
              </w:rPr>
              <w:t>Interpretação </w:t>
            </w:r>
            <w:r>
              <w:rPr>
                <w:sz w:val="24"/>
              </w:rPr>
              <w:t>técnica ICPC 01 que trata da contabilização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contratos de </w:t>
            </w:r>
            <w:r>
              <w:rPr>
                <w:spacing w:val="-2"/>
                <w:sz w:val="24"/>
              </w:rPr>
              <w:t>concessão, </w:t>
            </w:r>
            <w:r>
              <w:rPr>
                <w:sz w:val="24"/>
              </w:rPr>
              <w:t>correlacionada à norma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IFRIC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12.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8_CPC46_191020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12_AP.docx</w:t>
            </w:r>
          </w:p>
        </w:tc>
        <w:tc>
          <w:tcPr>
            <w:tcW w:w="1960" w:type="dxa"/>
            <w:tcBorders>
              <w:top w:val="single" w:sz="8" w:space="0" w:color="A5A5A5"/>
              <w:left w:val="single" w:sz="8" w:space="0" w:color="3F3F3F"/>
              <w:bottom w:val="single" w:sz="8" w:space="0" w:color="A5A5A5"/>
              <w:right w:val="single" w:sz="8" w:space="0" w:color="A5A5A5"/>
            </w:tcBorders>
          </w:tcPr>
          <w:p>
            <w:pPr>
              <w:pStyle w:val="TableParagraph"/>
              <w:spacing w:line="242" w:lineRule="auto"/>
              <w:ind w:right="159"/>
              <w:rPr>
                <w:sz w:val="24"/>
              </w:rPr>
            </w:pPr>
            <w:r>
              <w:rPr>
                <w:spacing w:val="-2"/>
                <w:sz w:val="24"/>
              </w:rPr>
              <w:t>Documento </w:t>
            </w:r>
            <w:r>
              <w:rPr>
                <w:sz w:val="24"/>
              </w:rPr>
              <w:t>contendo o </w:t>
            </w:r>
            <w:r>
              <w:rPr>
                <w:spacing w:val="-2"/>
                <w:sz w:val="24"/>
              </w:rPr>
              <w:t>pronunciamento </w:t>
            </w:r>
            <w:r>
              <w:rPr>
                <w:sz w:val="24"/>
              </w:rPr>
              <w:t>técnico CPC 46 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mensuração de valor justo, atualizado até </w:t>
            </w:r>
            <w:r>
              <w:rPr>
                <w:spacing w:val="-2"/>
                <w:sz w:val="24"/>
              </w:rPr>
              <w:t>2012.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84_ICPC_07_rev 01.docx</w:t>
            </w:r>
          </w:p>
        </w:tc>
        <w:tc>
          <w:tcPr>
            <w:tcW w:w="1960" w:type="dxa"/>
            <w:tcBorders>
              <w:top w:val="single" w:sz="8" w:space="0" w:color="A5A5A5"/>
              <w:left w:val="single" w:sz="8" w:space="0" w:color="3F3F3F"/>
              <w:bottom w:val="single" w:sz="8" w:space="0" w:color="A5A5A5"/>
              <w:right w:val="single" w:sz="8" w:space="0" w:color="A5A5A5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ICPC 07 aborda a distribuição de lucros in natura e sua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correlação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 as normas internacionais de </w:t>
            </w:r>
            <w:r>
              <w:rPr>
                <w:spacing w:val="-2"/>
                <w:sz w:val="24"/>
              </w:rPr>
              <w:t>contabilidade, </w:t>
            </w:r>
            <w:r>
              <w:rPr>
                <w:sz w:val="24"/>
              </w:rPr>
              <w:t>IFRIC 17.</w:t>
            </w:r>
          </w:p>
        </w:tc>
      </w:tr>
      <w:tr>
        <w:trPr>
          <w:trHeight w:val="1987" w:hRule="atLeast"/>
        </w:trPr>
        <w:tc>
          <w:tcPr>
            <w:tcW w:w="196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i/>
                <w:sz w:val="24"/>
              </w:rPr>
            </w:pPr>
            <w:r>
              <w:rPr>
                <w:sz w:val="24"/>
              </w:rPr>
              <w:t>90_ICPC08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R1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pacing w:val="-2"/>
                <w:sz w:val="24"/>
              </w:rPr>
              <w:t>01062012_sem_an exo_2_limpo.docx</w:t>
            </w:r>
          </w:p>
        </w:tc>
        <w:tc>
          <w:tcPr>
            <w:tcW w:w="1960" w:type="dxa"/>
            <w:tcBorders>
              <w:top w:val="single" w:sz="8" w:space="0" w:color="A5A5A5"/>
              <w:left w:val="single" w:sz="8" w:space="0" w:color="3F3F3F"/>
              <w:bottom w:val="single" w:sz="8" w:space="0" w:color="A5A5A5"/>
              <w:right w:val="single" w:sz="8" w:space="0" w:color="A5A5A5"/>
            </w:tcBorders>
          </w:tcPr>
          <w:p>
            <w:pPr>
              <w:pStyle w:val="TableParagraph"/>
              <w:spacing w:line="242" w:lineRule="auto"/>
              <w:ind w:right="25"/>
              <w:rPr>
                <w:sz w:val="24"/>
              </w:rPr>
            </w:pPr>
            <w:r>
              <w:rPr>
                <w:sz w:val="24"/>
              </w:rPr>
              <w:t>Interpretação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ICPC 08 revisada, trata da contabilização de propostas de pagamento de dividendos e suas implicações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legais.</w:t>
            </w:r>
          </w:p>
        </w:tc>
      </w:tr>
    </w:tbl>
    <w:p>
      <w:pPr>
        <w:spacing w:after="0" w:line="242" w:lineRule="auto"/>
        <w:rPr>
          <w:sz w:val="24"/>
        </w:rPr>
        <w:sectPr>
          <w:footerReference w:type="default" r:id="rId5"/>
          <w:type w:val="continuous"/>
          <w:pgSz w:w="16530" w:h="23390"/>
          <w:pgMar w:footer="864" w:header="0" w:top="1460" w:bottom="1060" w:left="880" w:right="2360"/>
          <w:pgNumType w:start="1"/>
        </w:sectPr>
      </w:pPr>
    </w:p>
    <w:tbl>
      <w:tblPr>
        <w:tblW w:w="0" w:type="auto"/>
        <w:jc w:val="left"/>
        <w:tblInd w:w="13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310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00 (R2)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372"/>
              <w:rPr>
                <w:sz w:val="24"/>
              </w:rPr>
            </w:pPr>
            <w:r>
              <w:rPr>
                <w:spacing w:val="-2"/>
                <w:sz w:val="24"/>
              </w:rPr>
              <w:t>Estrutura </w:t>
            </w:r>
            <w:r>
              <w:rPr>
                <w:sz w:val="24"/>
              </w:rPr>
              <w:t>Conceitual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spacing w:val="-2"/>
                <w:sz w:val="24"/>
              </w:rPr>
              <w:t>Relatório Financeiro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21"/>
              <w:rPr>
                <w:sz w:val="24"/>
              </w:rPr>
            </w:pPr>
            <w:r>
              <w:rPr>
                <w:sz w:val="24"/>
              </w:rPr>
              <w:t>Revisão da </w:t>
            </w:r>
            <w:r>
              <w:rPr>
                <w:spacing w:val="-2"/>
                <w:sz w:val="24"/>
              </w:rPr>
              <w:t>estrutura conceitual, abordando princípios </w:t>
            </w:r>
            <w:r>
              <w:rPr>
                <w:sz w:val="24"/>
              </w:rPr>
              <w:t>fundamentais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 a elaboração e divulgação de </w:t>
            </w:r>
            <w:r>
              <w:rPr>
                <w:spacing w:val="-2"/>
                <w:sz w:val="24"/>
              </w:rPr>
              <w:t>relatórios contábeis- </w:t>
            </w:r>
            <w:r>
              <w:rPr>
                <w:sz w:val="24"/>
              </w:rPr>
              <w:t>financeiros 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01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651"/>
              <w:rPr>
                <w:sz w:val="24"/>
              </w:rPr>
            </w:pPr>
            <w:r>
              <w:rPr>
                <w:spacing w:val="-2"/>
                <w:sz w:val="24"/>
              </w:rPr>
              <w:t>Estrutura Conceitual </w:t>
            </w:r>
            <w:r>
              <w:rPr>
                <w:sz w:val="24"/>
              </w:rPr>
              <w:t>(Revisão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12)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Revisão do </w:t>
            </w:r>
            <w:r>
              <w:rPr>
                <w:spacing w:val="-2"/>
                <w:sz w:val="24"/>
              </w:rPr>
              <w:t>pronunciamento </w:t>
            </w:r>
            <w:r>
              <w:rPr>
                <w:sz w:val="24"/>
              </w:rPr>
              <w:t>CPC 01,</w:t>
            </w:r>
          </w:p>
          <w:p>
            <w:pPr>
              <w:pStyle w:val="TableParagraph"/>
              <w:spacing w:line="242" w:lineRule="auto"/>
              <w:ind w:right="88"/>
              <w:rPr>
                <w:sz w:val="24"/>
              </w:rPr>
            </w:pPr>
            <w:r>
              <w:rPr>
                <w:sz w:val="24"/>
              </w:rPr>
              <w:t>abordando a </w:t>
            </w:r>
            <w:r>
              <w:rPr>
                <w:spacing w:val="-2"/>
                <w:sz w:val="24"/>
              </w:rPr>
              <w:t>estrutura </w:t>
            </w:r>
            <w:r>
              <w:rPr>
                <w:sz w:val="24"/>
              </w:rPr>
              <w:t>conceitual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regras de relatórios contábeis no </w:t>
            </w:r>
            <w:r>
              <w:rPr>
                <w:spacing w:val="-2"/>
                <w:sz w:val="24"/>
              </w:rPr>
              <w:t>Brasil.</w:t>
            </w:r>
          </w:p>
        </w:tc>
      </w:tr>
      <w:tr>
        <w:trPr>
          <w:trHeight w:val="226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02 (R2)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220"/>
              <w:rPr>
                <w:sz w:val="24"/>
              </w:rPr>
            </w:pPr>
            <w:r>
              <w:rPr>
                <w:sz w:val="24"/>
              </w:rPr>
              <w:t>Efeitos das Mudanças nas Taxas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Câmbio (Rev 13)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75"/>
              <w:rPr>
                <w:sz w:val="24"/>
              </w:rPr>
            </w:pPr>
            <w:r>
              <w:rPr>
                <w:sz w:val="24"/>
              </w:rPr>
              <w:t>Revisão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técnica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 CPC 02, que trata dos efeitos de mudanças nas taxas de câmbio e conversão de </w:t>
            </w:r>
            <w:r>
              <w:rPr>
                <w:spacing w:val="-2"/>
                <w:sz w:val="24"/>
              </w:rPr>
              <w:t>demonstrações contábeis.</w:t>
            </w:r>
          </w:p>
        </w:tc>
      </w:tr>
      <w:tr>
        <w:trPr>
          <w:trHeight w:val="198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03 (R2)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105"/>
              <w:rPr>
                <w:sz w:val="24"/>
              </w:rPr>
            </w:pPr>
            <w:r>
              <w:rPr>
                <w:sz w:val="24"/>
              </w:rPr>
              <w:t>Demonstração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dos Fluxos de Caixa (Rev 24)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Estabelece normas para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elaboração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 apresentação das demonstrações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dos fluxos de caixa, correlacionada à IAS 7.</w:t>
            </w:r>
          </w:p>
        </w:tc>
      </w:tr>
      <w:tr>
        <w:trPr>
          <w:trHeight w:val="282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04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305"/>
              <w:rPr>
                <w:sz w:val="24"/>
              </w:rPr>
            </w:pPr>
            <w:r>
              <w:rPr>
                <w:sz w:val="24"/>
              </w:rPr>
              <w:t>Ativo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Intangível (Revisão 21)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8"/>
              <w:rPr>
                <w:sz w:val="24"/>
              </w:rPr>
            </w:pPr>
            <w:r>
              <w:rPr>
                <w:sz w:val="24"/>
              </w:rPr>
              <w:t>Aborda o tratamento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contábil de ativos </w:t>
            </w:r>
            <w:r>
              <w:rPr>
                <w:spacing w:val="-2"/>
                <w:sz w:val="24"/>
              </w:rPr>
              <w:t>intangíveis, </w:t>
            </w:r>
            <w:r>
              <w:rPr>
                <w:sz w:val="24"/>
              </w:rPr>
              <w:t>excluindo o ágio por expectativa de </w:t>
            </w:r>
            <w:r>
              <w:rPr>
                <w:spacing w:val="-2"/>
                <w:sz w:val="24"/>
              </w:rPr>
              <w:t>rentabilidade futura, </w:t>
            </w:r>
            <w:r>
              <w:rPr>
                <w:sz w:val="24"/>
              </w:rPr>
              <w:t>correlacionado à IAS 38.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05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79"/>
              <w:rPr>
                <w:sz w:val="24"/>
              </w:rPr>
            </w:pPr>
            <w:r>
              <w:rPr>
                <w:sz w:val="24"/>
              </w:rPr>
              <w:t>Divulgação sobre </w:t>
            </w:r>
            <w:r>
              <w:rPr>
                <w:spacing w:val="-2"/>
                <w:sz w:val="24"/>
              </w:rPr>
              <w:t>Partes </w:t>
            </w:r>
            <w:r>
              <w:rPr>
                <w:sz w:val="24"/>
              </w:rPr>
              <w:t>Relacionadas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06)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18"/>
              <w:rPr>
                <w:sz w:val="24"/>
              </w:rPr>
            </w:pPr>
            <w:r>
              <w:rPr>
                <w:spacing w:val="-2"/>
                <w:sz w:val="24"/>
              </w:rPr>
              <w:t>Estabelece </w:t>
            </w:r>
            <w:r>
              <w:rPr>
                <w:sz w:val="24"/>
              </w:rPr>
              <w:t>critérios para divulgação de informações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 transações com </w:t>
            </w:r>
            <w:r>
              <w:rPr>
                <w:spacing w:val="-2"/>
                <w:sz w:val="24"/>
              </w:rPr>
              <w:t>partes relacionadas, </w:t>
            </w:r>
            <w:r>
              <w:rPr>
                <w:sz w:val="24"/>
              </w:rPr>
              <w:t>correlacionada à IAS 24.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06 (R2)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40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Arrendamentos </w:t>
            </w:r>
            <w:r>
              <w:rPr>
                <w:sz w:val="24"/>
              </w:rPr>
              <w:t>Mercantis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23)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Normas para o </w:t>
            </w:r>
            <w:r>
              <w:rPr>
                <w:spacing w:val="-2"/>
                <w:sz w:val="24"/>
              </w:rPr>
              <w:t>reconhecimento, </w:t>
            </w:r>
            <w:r>
              <w:rPr>
                <w:sz w:val="24"/>
              </w:rPr>
              <w:t>mensuração e apresentação de </w:t>
            </w:r>
            <w:r>
              <w:rPr>
                <w:spacing w:val="-2"/>
                <w:sz w:val="24"/>
              </w:rPr>
              <w:t>arrendamentos mercantis, </w:t>
            </w:r>
            <w:r>
              <w:rPr>
                <w:sz w:val="24"/>
              </w:rPr>
              <w:t>correlacionada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à IFRS 16 .</w:t>
            </w:r>
          </w:p>
        </w:tc>
      </w:tr>
      <w:tr>
        <w:trPr>
          <w:trHeight w:val="198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07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Subvenção e </w:t>
            </w:r>
            <w:r>
              <w:rPr>
                <w:spacing w:val="-2"/>
                <w:sz w:val="24"/>
              </w:rPr>
              <w:t>Assistência Governamentais </w:t>
            </w:r>
            <w:r>
              <w:rPr>
                <w:sz w:val="24"/>
              </w:rPr>
              <w:t>(Rev 12)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12"/>
              <w:rPr>
                <w:sz w:val="24"/>
              </w:rPr>
            </w:pPr>
            <w:r>
              <w:rPr>
                <w:sz w:val="24"/>
              </w:rPr>
              <w:t>Normas sobre a contabilização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subvenção e </w:t>
            </w:r>
            <w:r>
              <w:rPr>
                <w:spacing w:val="-2"/>
                <w:sz w:val="24"/>
              </w:rPr>
              <w:t>assistência governamental, </w:t>
            </w:r>
            <w:r>
              <w:rPr>
                <w:sz w:val="24"/>
              </w:rPr>
              <w:t>correlacionada à IAS 20.</w:t>
            </w:r>
          </w:p>
        </w:tc>
      </w:tr>
    </w:tbl>
    <w:p>
      <w:pPr>
        <w:spacing w:after="0" w:line="242" w:lineRule="auto"/>
        <w:rPr>
          <w:sz w:val="24"/>
        </w:rPr>
        <w:sectPr>
          <w:pgSz w:w="16530" w:h="23390"/>
          <w:pgMar w:header="0" w:footer="864" w:top="1500" w:bottom="1060" w:left="880" w:right="2360"/>
        </w:sectPr>
      </w:pPr>
    </w:p>
    <w:tbl>
      <w:tblPr>
        <w:tblW w:w="0" w:type="auto"/>
        <w:jc w:val="left"/>
        <w:tblInd w:w="13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08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25"/>
              <w:rPr>
                <w:sz w:val="24"/>
              </w:rPr>
            </w:pPr>
            <w:r>
              <w:rPr>
                <w:sz w:val="24"/>
              </w:rPr>
              <w:t>Custos de Transação e Prêmios na Emissão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Títulos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50"/>
              <w:rPr>
                <w:sz w:val="24"/>
              </w:rPr>
            </w:pPr>
            <w:r>
              <w:rPr>
                <w:sz w:val="24"/>
              </w:rPr>
              <w:t>Trata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custos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transação e prêmios na emissão de títulos e valores </w:t>
            </w:r>
            <w:r>
              <w:rPr>
                <w:spacing w:val="-2"/>
                <w:sz w:val="24"/>
              </w:rPr>
              <w:t>mobiliários, </w:t>
            </w:r>
            <w:r>
              <w:rPr>
                <w:sz w:val="24"/>
              </w:rPr>
              <w:t>correlacionada à IFRIC 17.</w:t>
            </w:r>
          </w:p>
        </w:tc>
      </w:tr>
      <w:tr>
        <w:trPr>
          <w:trHeight w:val="310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09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198"/>
              <w:rPr>
                <w:sz w:val="24"/>
              </w:rPr>
            </w:pPr>
            <w:r>
              <w:rPr>
                <w:sz w:val="24"/>
              </w:rPr>
              <w:t>Demonstração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 </w:t>
            </w:r>
            <w:r>
              <w:rPr>
                <w:spacing w:val="-7"/>
                <w:sz w:val="24"/>
              </w:rPr>
              <w:t>Valor </w:t>
            </w:r>
            <w:r>
              <w:rPr>
                <w:spacing w:val="-2"/>
                <w:sz w:val="24"/>
              </w:rPr>
              <w:t>Adicionado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92"/>
              <w:rPr>
                <w:sz w:val="24"/>
              </w:rPr>
            </w:pPr>
            <w:r>
              <w:rPr>
                <w:sz w:val="24"/>
              </w:rPr>
              <w:t>Estabelece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normas para a elaboração da demonstração do valor </w:t>
            </w:r>
            <w:r>
              <w:rPr>
                <w:spacing w:val="-2"/>
                <w:sz w:val="24"/>
              </w:rPr>
              <w:t>adicionado, </w:t>
            </w:r>
            <w:r>
              <w:rPr>
                <w:sz w:val="24"/>
              </w:rPr>
              <w:t>correlacionada ao IFRS sobre divulgação de </w:t>
            </w:r>
            <w:r>
              <w:rPr>
                <w:spacing w:val="-2"/>
                <w:sz w:val="24"/>
              </w:rPr>
              <w:t>atividades </w:t>
            </w:r>
            <w:r>
              <w:rPr>
                <w:sz w:val="24"/>
              </w:rPr>
              <w:t>operacionais e financeiras .</w:t>
            </w:r>
          </w:p>
        </w:tc>
      </w:tr>
      <w:tr>
        <w:trPr>
          <w:trHeight w:val="198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pacing w:val="-2"/>
                <w:sz w:val="24"/>
              </w:rPr>
              <w:t>Ajuste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Valor Presente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62"/>
              <w:rPr>
                <w:sz w:val="24"/>
              </w:rPr>
            </w:pPr>
            <w:r>
              <w:rPr>
                <w:sz w:val="24"/>
              </w:rPr>
              <w:t>Normas para a aplicação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ajuste a valor presente em ativos e </w:t>
            </w:r>
            <w:r>
              <w:rPr>
                <w:spacing w:val="-2"/>
                <w:sz w:val="24"/>
              </w:rPr>
              <w:t>passivos, </w:t>
            </w:r>
            <w:r>
              <w:rPr>
                <w:sz w:val="24"/>
              </w:rPr>
              <w:t>correlacionada à IAS 39 e IFRS 9 .</w:t>
            </w:r>
          </w:p>
        </w:tc>
      </w:tr>
      <w:tr>
        <w:trPr>
          <w:trHeight w:val="198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spacing w:line="242" w:lineRule="auto"/>
              <w:ind w:right="105"/>
              <w:rPr>
                <w:sz w:val="24"/>
              </w:rPr>
            </w:pPr>
            <w:r>
              <w:rPr>
                <w:sz w:val="24"/>
              </w:rPr>
              <w:t>CPC 13 - Adoção Inicial da Lei nº 11.638/07 e da Medida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Provisória nº 449/08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65"/>
              <w:rPr>
                <w:sz w:val="24"/>
              </w:rPr>
            </w:pPr>
            <w:r>
              <w:rPr>
                <w:sz w:val="24"/>
              </w:rPr>
              <w:t>Normas sobre a transição para as novas práticas contábeis, com foco na Lei nº 11.638/07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MP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nº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449/08.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Combinação de Negócios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22)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52"/>
              <w:rPr>
                <w:sz w:val="24"/>
              </w:rPr>
            </w:pPr>
            <w:r>
              <w:rPr>
                <w:sz w:val="24"/>
              </w:rPr>
              <w:t>Trata da contabilização de combinações de </w:t>
            </w:r>
            <w:r>
              <w:rPr>
                <w:spacing w:val="-2"/>
                <w:sz w:val="24"/>
              </w:rPr>
              <w:t>negócios, incluindo </w:t>
            </w:r>
            <w:r>
              <w:rPr>
                <w:sz w:val="24"/>
              </w:rPr>
              <w:t>aquisições,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fusões e incorporações, correlacionada à IFRS 3.</w:t>
            </w:r>
          </w:p>
        </w:tc>
      </w:tr>
      <w:tr>
        <w:trPr>
          <w:trHeight w:val="198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Estoques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(Rev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13)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12"/>
              <w:rPr>
                <w:sz w:val="24"/>
              </w:rPr>
            </w:pPr>
            <w:r>
              <w:rPr>
                <w:spacing w:val="-2"/>
                <w:sz w:val="24"/>
              </w:rPr>
              <w:t>Estabelece </w:t>
            </w:r>
            <w:r>
              <w:rPr>
                <w:sz w:val="24"/>
              </w:rPr>
              <w:t>critérios de mensuração e contabilização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estoques, </w:t>
            </w:r>
            <w:r>
              <w:rPr>
                <w:sz w:val="24"/>
              </w:rPr>
              <w:t>correlacionada à IAS 2.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 (R2)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Investimento em Coligada e </w:t>
            </w:r>
            <w:r>
              <w:rPr>
                <w:spacing w:val="-2"/>
                <w:sz w:val="24"/>
              </w:rPr>
              <w:t>Empreendimento </w:t>
            </w:r>
            <w:r>
              <w:rPr>
                <w:sz w:val="24"/>
              </w:rPr>
              <w:t>Conjunto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13)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Normas sobre o reconhecimento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 mensuração de investimentos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 coligadas e </w:t>
            </w:r>
            <w:r>
              <w:rPr>
                <w:spacing w:val="-2"/>
                <w:sz w:val="24"/>
              </w:rPr>
              <w:t>empreendimentos conjuntos, </w:t>
            </w:r>
            <w:r>
              <w:rPr>
                <w:sz w:val="24"/>
              </w:rPr>
              <w:t>correlacionada à IAS 28.</w:t>
            </w:r>
          </w:p>
        </w:tc>
      </w:tr>
      <w:tr>
        <w:trPr>
          <w:trHeight w:val="198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 (R2)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Negócios em Conjunto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13)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55"/>
              <w:rPr>
                <w:sz w:val="24"/>
              </w:rPr>
            </w:pPr>
            <w:r>
              <w:rPr>
                <w:sz w:val="24"/>
              </w:rPr>
              <w:t>Trata de acordos de negócios em conjunto e estabelece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critérios </w:t>
            </w:r>
            <w:r>
              <w:rPr>
                <w:spacing w:val="-2"/>
                <w:sz w:val="24"/>
              </w:rPr>
              <w:t>contábeis, </w:t>
            </w:r>
            <w:r>
              <w:rPr>
                <w:sz w:val="24"/>
              </w:rPr>
              <w:t>correlacionada à IFRS 11.</w:t>
            </w:r>
          </w:p>
        </w:tc>
      </w:tr>
    </w:tbl>
    <w:p>
      <w:pPr>
        <w:spacing w:after="0" w:line="242" w:lineRule="auto"/>
        <w:rPr>
          <w:sz w:val="24"/>
        </w:rPr>
        <w:sectPr>
          <w:type w:val="continuous"/>
          <w:pgSz w:w="16530" w:h="23390"/>
          <w:pgMar w:header="0" w:footer="864" w:top="1500" w:bottom="2022" w:left="880" w:right="2360"/>
        </w:sectPr>
      </w:pPr>
    </w:p>
    <w:tbl>
      <w:tblPr>
        <w:tblW w:w="0" w:type="auto"/>
        <w:jc w:val="left"/>
        <w:tblInd w:w="13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91"/>
              <w:rPr>
                <w:sz w:val="24"/>
              </w:rPr>
            </w:pPr>
            <w:r>
              <w:rPr>
                <w:sz w:val="24"/>
              </w:rPr>
              <w:t>Custos de Empréstimos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22)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Aborda a contabilização de custos de empréstimos que são diretamente atribuíveis à aquisição ou produção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ativos </w:t>
            </w:r>
            <w:r>
              <w:rPr>
                <w:spacing w:val="-2"/>
                <w:sz w:val="24"/>
              </w:rPr>
              <w:t>qualificáveis.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65"/>
              <w:rPr>
                <w:sz w:val="24"/>
              </w:rPr>
            </w:pPr>
            <w:r>
              <w:rPr>
                <w:spacing w:val="-2"/>
                <w:sz w:val="24"/>
              </w:rPr>
              <w:t>Demonstração </w:t>
            </w:r>
            <w:r>
              <w:rPr>
                <w:sz w:val="24"/>
              </w:rPr>
              <w:t>Intermediária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20)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306"/>
              <w:rPr>
                <w:sz w:val="24"/>
              </w:rPr>
            </w:pPr>
            <w:r>
              <w:rPr>
                <w:sz w:val="24"/>
              </w:rPr>
              <w:t>Estabelece os critérios para a elaboração de </w:t>
            </w:r>
            <w:r>
              <w:rPr>
                <w:spacing w:val="-2"/>
                <w:sz w:val="24"/>
              </w:rPr>
              <w:t>demonstrações contábeis intermediárias, </w:t>
            </w:r>
            <w:r>
              <w:rPr>
                <w:sz w:val="24"/>
              </w:rPr>
              <w:t>correlacionada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à IAS 34.</w:t>
            </w:r>
          </w:p>
        </w:tc>
      </w:tr>
      <w:tr>
        <w:trPr>
          <w:trHeight w:val="226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305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por Segmento (Rev </w:t>
            </w:r>
            <w:r>
              <w:rPr>
                <w:spacing w:val="-4"/>
                <w:sz w:val="24"/>
              </w:rPr>
              <w:t>08)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Orientação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 divulgação de </w:t>
            </w:r>
            <w:r>
              <w:rPr>
                <w:spacing w:val="-2"/>
                <w:sz w:val="24"/>
              </w:rPr>
              <w:t>informações </w:t>
            </w:r>
            <w:r>
              <w:rPr>
                <w:sz w:val="24"/>
              </w:rPr>
              <w:t>financeiras por </w:t>
            </w:r>
            <w:r>
              <w:rPr>
                <w:spacing w:val="-2"/>
                <w:sz w:val="24"/>
              </w:rPr>
              <w:t>segmentos operacionais, </w:t>
            </w:r>
            <w:r>
              <w:rPr>
                <w:sz w:val="24"/>
              </w:rPr>
              <w:t>correlacionada à IFRS 8.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40"/>
              <w:ind w:right="34"/>
              <w:rPr>
                <w:sz w:val="24"/>
              </w:rPr>
            </w:pPr>
            <w:r>
              <w:rPr>
                <w:sz w:val="24"/>
              </w:rPr>
              <w:t>CPC 23 - Políticas </w:t>
            </w:r>
            <w:r>
              <w:rPr>
                <w:spacing w:val="-2"/>
                <w:sz w:val="24"/>
              </w:rPr>
              <w:t>Contábeis, </w:t>
            </w:r>
            <w:r>
              <w:rPr>
                <w:sz w:val="24"/>
              </w:rPr>
              <w:t>Mudança de Estimativa e Retificação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Erro (Rev 20)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Normas sobre seleção, mudança de políticas contábeis e tratamento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erros nas demonstrações </w:t>
            </w:r>
            <w:r>
              <w:rPr>
                <w:spacing w:val="-2"/>
                <w:sz w:val="24"/>
              </w:rPr>
              <w:t>contábeis, </w:t>
            </w:r>
            <w:r>
              <w:rPr>
                <w:sz w:val="24"/>
              </w:rPr>
              <w:t>correlacionada à IAS 8.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44"/>
              <w:ind w:right="145"/>
              <w:rPr>
                <w:sz w:val="24"/>
              </w:rPr>
            </w:pPr>
            <w:r>
              <w:rPr>
                <w:sz w:val="24"/>
              </w:rPr>
              <w:t>CPC 24 - Evento Subsequente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12)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85"/>
              <w:rPr>
                <w:sz w:val="24"/>
              </w:rPr>
            </w:pPr>
            <w:r>
              <w:rPr>
                <w:spacing w:val="-2"/>
                <w:sz w:val="24"/>
              </w:rPr>
              <w:t>Estabelece </w:t>
            </w:r>
            <w:r>
              <w:rPr>
                <w:sz w:val="24"/>
              </w:rPr>
              <w:t>critérios para reconhecimento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 divulgação de </w:t>
            </w:r>
            <w:r>
              <w:rPr>
                <w:spacing w:val="-2"/>
                <w:sz w:val="24"/>
              </w:rPr>
              <w:t>eventos </w:t>
            </w:r>
            <w:r>
              <w:rPr>
                <w:sz w:val="24"/>
              </w:rPr>
              <w:t>subsequentes às </w:t>
            </w:r>
            <w:r>
              <w:rPr>
                <w:spacing w:val="-2"/>
                <w:sz w:val="24"/>
              </w:rPr>
              <w:t>demonstrações contábeis,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Provisões, Passivos </w:t>
            </w:r>
            <w:r>
              <w:rPr>
                <w:sz w:val="24"/>
              </w:rPr>
              <w:t>Contingentes e </w:t>
            </w:r>
            <w:r>
              <w:rPr>
                <w:spacing w:val="-2"/>
                <w:sz w:val="24"/>
              </w:rPr>
              <w:t>Ativos </w:t>
            </w:r>
            <w:r>
              <w:rPr>
                <w:sz w:val="24"/>
              </w:rPr>
              <w:t>Contingentes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19)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34"/>
              <w:rPr>
                <w:sz w:val="24"/>
              </w:rPr>
            </w:pPr>
            <w:r>
              <w:rPr>
                <w:sz w:val="24"/>
              </w:rPr>
              <w:t>Normas sobre reconhecimento e mensuração de provisões,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passivos contingentes e </w:t>
            </w:r>
            <w:r>
              <w:rPr>
                <w:spacing w:val="-2"/>
                <w:sz w:val="24"/>
              </w:rPr>
              <w:t>ativos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contingentes, </w:t>
            </w:r>
            <w:r>
              <w:rPr>
                <w:sz w:val="24"/>
              </w:rPr>
              <w:t>correlacionada à IAS 37 .</w:t>
            </w:r>
          </w:p>
        </w:tc>
      </w:tr>
      <w:tr>
        <w:trPr>
          <w:trHeight w:val="198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26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199"/>
              <w:rPr>
                <w:sz w:val="24"/>
              </w:rPr>
            </w:pPr>
            <w:r>
              <w:rPr>
                <w:sz w:val="24"/>
              </w:rPr>
              <w:t>Apresentação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das </w:t>
            </w:r>
            <w:r>
              <w:rPr>
                <w:spacing w:val="-2"/>
                <w:sz w:val="24"/>
              </w:rPr>
              <w:t>Demonstrações </w:t>
            </w:r>
            <w:r>
              <w:rPr>
                <w:sz w:val="24"/>
              </w:rPr>
              <w:t>Contábeis (Rev </w:t>
            </w:r>
            <w:r>
              <w:rPr>
                <w:spacing w:val="-4"/>
                <w:sz w:val="24"/>
              </w:rPr>
              <w:t>23)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8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estrutura e os requisitos de apresentação das </w:t>
            </w:r>
            <w:r>
              <w:rPr>
                <w:spacing w:val="-2"/>
                <w:sz w:val="24"/>
              </w:rPr>
              <w:t>demonstrações contábeis, </w:t>
            </w:r>
            <w:r>
              <w:rPr>
                <w:sz w:val="24"/>
              </w:rPr>
              <w:t>correlacionada à IAS 1 .</w:t>
            </w:r>
          </w:p>
        </w:tc>
      </w:tr>
      <w:tr>
        <w:trPr>
          <w:trHeight w:val="310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5"/>
              </w:rPr>
            </w:pPr>
          </w:p>
          <w:p>
            <w:pPr>
              <w:pStyle w:val="TableParagraph"/>
              <w:spacing w:line="242" w:lineRule="auto"/>
              <w:ind w:right="198"/>
              <w:rPr>
                <w:sz w:val="24"/>
              </w:rPr>
            </w:pPr>
            <w:r>
              <w:rPr>
                <w:sz w:val="24"/>
              </w:rPr>
              <w:t>CPC 27 - Ativo Imobilizado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22)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79"/>
              <w:rPr>
                <w:sz w:val="24"/>
              </w:rPr>
            </w:pPr>
            <w:r>
              <w:rPr>
                <w:sz w:val="24"/>
              </w:rPr>
              <w:t>Trata da contabilização de </w:t>
            </w:r>
            <w:r>
              <w:rPr>
                <w:spacing w:val="-2"/>
                <w:sz w:val="24"/>
              </w:rPr>
              <w:t>ativos imobilizados, incluindo </w:t>
            </w:r>
            <w:r>
              <w:rPr>
                <w:sz w:val="24"/>
              </w:rPr>
              <w:t>mensuração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inicial e subsequente, depreciação e </w:t>
            </w:r>
            <w:r>
              <w:rPr>
                <w:spacing w:val="-2"/>
                <w:sz w:val="24"/>
              </w:rPr>
              <w:t>baixa, </w:t>
            </w:r>
            <w:r>
              <w:rPr>
                <w:sz w:val="24"/>
              </w:rPr>
              <w:t>correlacionada à IAS 16 .</w:t>
            </w:r>
          </w:p>
        </w:tc>
      </w:tr>
    </w:tbl>
    <w:p>
      <w:pPr>
        <w:spacing w:after="0" w:line="242" w:lineRule="auto"/>
        <w:rPr>
          <w:sz w:val="24"/>
        </w:rPr>
        <w:sectPr>
          <w:type w:val="continuous"/>
          <w:pgSz w:w="16530" w:h="23390"/>
          <w:pgMar w:header="0" w:footer="864" w:top="1500" w:bottom="1060" w:left="880" w:right="2360"/>
        </w:sectPr>
      </w:pPr>
    </w:p>
    <w:tbl>
      <w:tblPr>
        <w:tblW w:w="0" w:type="auto"/>
        <w:jc w:val="left"/>
        <w:tblInd w:w="13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28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105"/>
              <w:rPr>
                <w:sz w:val="24"/>
              </w:rPr>
            </w:pPr>
            <w:r>
              <w:rPr>
                <w:sz w:val="24"/>
              </w:rPr>
              <w:t>Propriedade para Investimento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14)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12"/>
              <w:rPr>
                <w:sz w:val="24"/>
              </w:rPr>
            </w:pPr>
            <w:r>
              <w:rPr>
                <w:sz w:val="24"/>
              </w:rPr>
              <w:t>Normas sobre a mensuração e contabilização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propriedades </w:t>
            </w:r>
            <w:r>
              <w:rPr>
                <w:sz w:val="24"/>
              </w:rPr>
              <w:t>mantidas para </w:t>
            </w:r>
            <w:r>
              <w:rPr>
                <w:spacing w:val="-2"/>
                <w:sz w:val="24"/>
              </w:rPr>
              <w:t>investimento, </w:t>
            </w:r>
            <w:r>
              <w:rPr>
                <w:sz w:val="24"/>
              </w:rPr>
              <w:t>correlacionada à IAS 40 .</w:t>
            </w:r>
          </w:p>
        </w:tc>
      </w:tr>
      <w:tr>
        <w:trPr>
          <w:trHeight w:val="198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40"/>
              <w:ind w:right="88"/>
              <w:rPr>
                <w:sz w:val="24"/>
              </w:rPr>
            </w:pPr>
            <w:r>
              <w:rPr>
                <w:sz w:val="24"/>
              </w:rPr>
              <w:t>CPC 29 - Ativo Biológico e </w:t>
            </w:r>
            <w:r>
              <w:rPr>
                <w:spacing w:val="-2"/>
                <w:sz w:val="24"/>
              </w:rPr>
              <w:t>Produto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Agrícola </w:t>
            </w:r>
            <w:r>
              <w:rPr>
                <w:sz w:val="24"/>
              </w:rPr>
              <w:t>(Rev 19)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58"/>
              <w:rPr>
                <w:sz w:val="24"/>
              </w:rPr>
            </w:pPr>
            <w:r>
              <w:rPr>
                <w:sz w:val="24"/>
              </w:rPr>
              <w:t>Aborda a mensuração e contabilização de ativos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biológicos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 produtos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agrícolas, correlacionada à IAS 41 .</w:t>
            </w:r>
          </w:p>
        </w:tc>
      </w:tr>
      <w:tr>
        <w:trPr>
          <w:trHeight w:val="282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"/>
              <w:ind w:right="88"/>
              <w:rPr>
                <w:sz w:val="24"/>
              </w:rPr>
            </w:pPr>
            <w:r>
              <w:rPr>
                <w:sz w:val="24"/>
              </w:rPr>
              <w:t>CPC 31 - Ativo Não Circulante Mantido para </w:t>
            </w:r>
            <w:r>
              <w:rPr>
                <w:spacing w:val="-2"/>
                <w:sz w:val="24"/>
              </w:rPr>
              <w:t>Venda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Operação Descontinuada </w:t>
            </w:r>
            <w:r>
              <w:rPr>
                <w:sz w:val="24"/>
              </w:rPr>
              <w:t>(Rev 12)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306"/>
              <w:rPr>
                <w:sz w:val="24"/>
              </w:rPr>
            </w:pPr>
            <w:r>
              <w:rPr>
                <w:sz w:val="24"/>
              </w:rPr>
              <w:t>Normas sobre a </w:t>
            </w:r>
            <w:r>
              <w:rPr>
                <w:spacing w:val="-2"/>
                <w:sz w:val="24"/>
              </w:rPr>
              <w:t>classificação, </w:t>
            </w:r>
            <w:r>
              <w:rPr>
                <w:sz w:val="24"/>
              </w:rPr>
              <w:t>mensuração e divulgação de ativos não </w:t>
            </w:r>
            <w:r>
              <w:rPr>
                <w:spacing w:val="-2"/>
                <w:sz w:val="24"/>
              </w:rPr>
              <w:t>circulantes </w:t>
            </w:r>
            <w:r>
              <w:rPr>
                <w:sz w:val="24"/>
              </w:rPr>
              <w:t>mantidos para </w:t>
            </w:r>
            <w:r>
              <w:rPr>
                <w:spacing w:val="-2"/>
                <w:sz w:val="24"/>
              </w:rPr>
              <w:t>venda, </w:t>
            </w:r>
            <w:r>
              <w:rPr>
                <w:sz w:val="24"/>
              </w:rPr>
              <w:t>correlacionada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à IFRS 5 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CPC 32 - Tributos sobre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Lucro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24)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32"/>
              <w:rPr>
                <w:sz w:val="24"/>
              </w:rPr>
            </w:pPr>
            <w:r>
              <w:rPr>
                <w:spacing w:val="-2"/>
                <w:sz w:val="24"/>
              </w:rPr>
              <w:t>Estabelece </w:t>
            </w:r>
            <w:r>
              <w:rPr>
                <w:sz w:val="24"/>
              </w:rPr>
              <w:t>critérios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contábeis para o reconhecimento e mensuração de tributos sobre o </w:t>
            </w:r>
            <w:r>
              <w:rPr>
                <w:spacing w:val="-2"/>
                <w:sz w:val="24"/>
              </w:rPr>
              <w:t>lucro, </w:t>
            </w:r>
            <w:r>
              <w:rPr>
                <w:sz w:val="24"/>
              </w:rPr>
              <w:t>correlacionada à IAS 12 .</w:t>
            </w:r>
          </w:p>
        </w:tc>
      </w:tr>
      <w:tr>
        <w:trPr>
          <w:trHeight w:val="282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33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158"/>
              <w:rPr>
                <w:sz w:val="24"/>
              </w:rPr>
            </w:pPr>
            <w:r>
              <w:rPr>
                <w:sz w:val="24"/>
              </w:rPr>
              <w:t>Benefícios a Empregados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13)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05"/>
              <w:rPr>
                <w:sz w:val="24"/>
              </w:rPr>
            </w:pPr>
            <w:r>
              <w:rPr>
                <w:sz w:val="24"/>
              </w:rPr>
              <w:t>Trata do </w:t>
            </w:r>
            <w:r>
              <w:rPr>
                <w:spacing w:val="-2"/>
                <w:sz w:val="24"/>
              </w:rPr>
              <w:t>reconhecimento, </w:t>
            </w:r>
            <w:r>
              <w:rPr>
                <w:sz w:val="24"/>
              </w:rPr>
              <w:t>mensuração e divulgação de benefícios a </w:t>
            </w:r>
            <w:r>
              <w:rPr>
                <w:spacing w:val="-2"/>
                <w:sz w:val="24"/>
              </w:rPr>
              <w:t>empregados, </w:t>
            </w:r>
            <w:r>
              <w:rPr>
                <w:sz w:val="24"/>
              </w:rPr>
              <w:t>incluindo planos 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aposentadoria, correlacionada à IAS 19 .</w:t>
            </w:r>
          </w:p>
        </w:tc>
      </w:tr>
      <w:tr>
        <w:trPr>
          <w:trHeight w:val="282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35 (R2)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38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Demonstrações </w:t>
            </w:r>
            <w:r>
              <w:rPr>
                <w:sz w:val="24"/>
              </w:rPr>
              <w:t>Separadas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07)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58"/>
              <w:rPr>
                <w:sz w:val="24"/>
              </w:rPr>
            </w:pPr>
            <w:r>
              <w:rPr>
                <w:sz w:val="24"/>
              </w:rPr>
              <w:t>Normas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contábeis para a elaboração 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demonstrações separadas de </w:t>
            </w:r>
            <w:r>
              <w:rPr>
                <w:spacing w:val="-2"/>
                <w:sz w:val="24"/>
              </w:rPr>
              <w:t>controladas, </w:t>
            </w:r>
            <w:r>
              <w:rPr>
                <w:sz w:val="24"/>
              </w:rPr>
              <w:t>coligadas e </w:t>
            </w:r>
            <w:r>
              <w:rPr>
                <w:spacing w:val="-2"/>
                <w:sz w:val="24"/>
              </w:rPr>
              <w:t>empreendimentos conjuntos, </w:t>
            </w:r>
            <w:r>
              <w:rPr>
                <w:sz w:val="24"/>
              </w:rPr>
              <w:t>correlacionada à IAS 27 .</w:t>
            </w:r>
          </w:p>
        </w:tc>
      </w:tr>
      <w:tr>
        <w:trPr>
          <w:trHeight w:val="282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36 (R3)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65"/>
              <w:rPr>
                <w:sz w:val="24"/>
              </w:rPr>
            </w:pPr>
            <w:r>
              <w:rPr>
                <w:spacing w:val="-2"/>
                <w:sz w:val="24"/>
              </w:rPr>
              <w:t>Demonstrações </w:t>
            </w:r>
            <w:r>
              <w:rPr>
                <w:sz w:val="24"/>
              </w:rPr>
              <w:t>Consolidadas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08)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5"/>
              <w:rPr>
                <w:sz w:val="24"/>
              </w:rPr>
            </w:pPr>
            <w:r>
              <w:rPr>
                <w:sz w:val="24"/>
              </w:rPr>
              <w:t>Normas para a elaboração de </w:t>
            </w:r>
            <w:r>
              <w:rPr>
                <w:spacing w:val="-2"/>
                <w:sz w:val="24"/>
              </w:rPr>
              <w:t>demonstrações contábeis consolidadas, </w:t>
            </w:r>
            <w:r>
              <w:rPr>
                <w:sz w:val="24"/>
              </w:rPr>
              <w:t>abordando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controle e participação não </w:t>
            </w:r>
            <w:r>
              <w:rPr>
                <w:spacing w:val="-2"/>
                <w:sz w:val="24"/>
              </w:rPr>
              <w:t>controladora, </w:t>
            </w:r>
            <w:r>
              <w:rPr>
                <w:sz w:val="24"/>
              </w:rPr>
              <w:t>correlacionada à IFRS 10 .</w:t>
            </w:r>
          </w:p>
        </w:tc>
      </w:tr>
    </w:tbl>
    <w:p>
      <w:pPr>
        <w:spacing w:after="0" w:line="242" w:lineRule="auto"/>
        <w:rPr>
          <w:sz w:val="24"/>
        </w:rPr>
        <w:sectPr>
          <w:type w:val="continuous"/>
          <w:pgSz w:w="16530" w:h="23390"/>
          <w:pgMar w:header="0" w:footer="864" w:top="1500" w:bottom="2488" w:left="880" w:right="2360"/>
        </w:sectPr>
      </w:pPr>
    </w:p>
    <w:tbl>
      <w:tblPr>
        <w:tblW w:w="0" w:type="auto"/>
        <w:jc w:val="left"/>
        <w:tblInd w:w="13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37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88"/>
              <w:rPr>
                <w:sz w:val="24"/>
              </w:rPr>
            </w:pPr>
            <w:r>
              <w:rPr>
                <w:sz w:val="24"/>
              </w:rPr>
              <w:t>Adoção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Inicial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das </w:t>
            </w:r>
            <w:r>
              <w:rPr>
                <w:spacing w:val="-2"/>
                <w:sz w:val="24"/>
              </w:rPr>
              <w:t>Normas </w:t>
            </w:r>
            <w:r>
              <w:rPr>
                <w:sz w:val="24"/>
              </w:rPr>
              <w:t>Internacionais de </w:t>
            </w:r>
            <w:r>
              <w:rPr>
                <w:spacing w:val="-2"/>
                <w:sz w:val="24"/>
              </w:rPr>
              <w:t>Contabilidade </w:t>
            </w:r>
            <w:r>
              <w:rPr>
                <w:sz w:val="24"/>
              </w:rPr>
              <w:t>(Rev 20)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Normas sobre a adoção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inicial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das IFRS para a elaboração de </w:t>
            </w:r>
            <w:r>
              <w:rPr>
                <w:spacing w:val="-2"/>
                <w:sz w:val="24"/>
              </w:rPr>
              <w:t>demonstrações consolidadas, </w:t>
            </w:r>
            <w:r>
              <w:rPr>
                <w:sz w:val="24"/>
              </w:rPr>
              <w:t>correlacionada à IFRS 1 .</w:t>
            </w:r>
          </w:p>
        </w:tc>
      </w:tr>
      <w:tr>
        <w:trPr>
          <w:trHeight w:val="198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39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105"/>
              <w:rPr>
                <w:sz w:val="24"/>
              </w:rPr>
            </w:pPr>
            <w:r>
              <w:rPr>
                <w:spacing w:val="-2"/>
                <w:sz w:val="24"/>
              </w:rPr>
              <w:t>Instrumentos Financeiros: </w:t>
            </w:r>
            <w:r>
              <w:rPr>
                <w:sz w:val="24"/>
              </w:rPr>
              <w:t>Reconhecimento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 Mensuração (Rev </w:t>
            </w:r>
            <w:r>
              <w:rPr>
                <w:spacing w:val="-4"/>
                <w:sz w:val="24"/>
              </w:rPr>
              <w:t>13)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85"/>
              <w:rPr>
                <w:sz w:val="24"/>
              </w:rPr>
            </w:pPr>
            <w:r>
              <w:rPr>
                <w:sz w:val="24"/>
              </w:rPr>
              <w:t>Normas sobre o reconhecimento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 mensuração de </w:t>
            </w:r>
            <w:r>
              <w:rPr>
                <w:spacing w:val="-2"/>
                <w:sz w:val="24"/>
              </w:rPr>
              <w:t>instrumentos financeiros, </w:t>
            </w:r>
            <w:r>
              <w:rPr>
                <w:sz w:val="24"/>
              </w:rPr>
              <w:t>correlacionada à IFRS 9 .</w:t>
            </w:r>
          </w:p>
        </w:tc>
      </w:tr>
      <w:tr>
        <w:trPr>
          <w:trHeight w:val="198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43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Adoção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 </w:t>
            </w:r>
            <w:r>
              <w:rPr>
                <w:spacing w:val="-2"/>
                <w:sz w:val="24"/>
              </w:rPr>
              <w:t>Pronunciamentos </w:t>
            </w:r>
            <w:r>
              <w:rPr>
                <w:sz w:val="24"/>
              </w:rPr>
              <w:t>Técnicos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CPC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6"/>
                <w:sz w:val="24"/>
              </w:rPr>
              <w:t>41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65"/>
              <w:rPr>
                <w:sz w:val="24"/>
              </w:rPr>
            </w:pPr>
            <w:r>
              <w:rPr>
                <w:sz w:val="24"/>
              </w:rPr>
              <w:t>Diretrizes para a adoção inicial dos CPCs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relacionados a combinações de negócios e ativos financeiros, com base na IFRS 1 .</w:t>
            </w:r>
          </w:p>
        </w:tc>
      </w:tr>
      <w:tr>
        <w:trPr>
          <w:trHeight w:val="282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44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pacing w:val="-2"/>
                <w:sz w:val="24"/>
              </w:rPr>
              <w:t>Demonstrações Combinadas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48"/>
              <w:rPr>
                <w:sz w:val="24"/>
              </w:rPr>
            </w:pPr>
            <w:r>
              <w:rPr>
                <w:sz w:val="24"/>
              </w:rPr>
              <w:t>Trata da elaboração e apresentação de </w:t>
            </w:r>
            <w:r>
              <w:rPr>
                <w:spacing w:val="-2"/>
                <w:sz w:val="24"/>
              </w:rPr>
              <w:t>demonstrações </w:t>
            </w:r>
            <w:r>
              <w:rPr>
                <w:sz w:val="24"/>
              </w:rPr>
              <w:t>combinadas de entidades sob controle comum, focada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critérios contábeis e comparativos .</w:t>
            </w:r>
          </w:p>
        </w:tc>
      </w:tr>
      <w:tr>
        <w:trPr>
          <w:trHeight w:val="310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45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Divulgação de Participações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 Outras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Entidades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88"/>
              <w:rPr>
                <w:sz w:val="24"/>
              </w:rPr>
            </w:pPr>
            <w:r>
              <w:rPr>
                <w:sz w:val="24"/>
              </w:rPr>
              <w:t>Regras sobre a divulgação de </w:t>
            </w:r>
            <w:r>
              <w:rPr>
                <w:spacing w:val="-2"/>
                <w:sz w:val="24"/>
              </w:rPr>
              <w:t>informações </w:t>
            </w:r>
            <w:r>
              <w:rPr>
                <w:sz w:val="24"/>
              </w:rPr>
              <w:t>financeiras e de risco relacionadas 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participações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 </w:t>
            </w:r>
            <w:r>
              <w:rPr>
                <w:spacing w:val="-2"/>
                <w:sz w:val="24"/>
              </w:rPr>
              <w:t>controladas, </w:t>
            </w:r>
            <w:r>
              <w:rPr>
                <w:sz w:val="24"/>
              </w:rPr>
              <w:t>coligadas e </w:t>
            </w:r>
            <w:r>
              <w:rPr>
                <w:spacing w:val="-2"/>
                <w:sz w:val="24"/>
              </w:rPr>
              <w:t>entidades </w:t>
            </w:r>
            <w:r>
              <w:rPr>
                <w:sz w:val="24"/>
              </w:rPr>
              <w:t>estruturadas não consolidadas 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46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Mensuração do </w:t>
            </w:r>
            <w:r>
              <w:rPr>
                <w:spacing w:val="-2"/>
                <w:sz w:val="24"/>
              </w:rPr>
              <w:t>Valor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Justo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(2012)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59"/>
              <w:rPr>
                <w:sz w:val="24"/>
              </w:rPr>
            </w:pPr>
            <w:r>
              <w:rPr>
                <w:spacing w:val="-2"/>
                <w:sz w:val="24"/>
              </w:rPr>
              <w:t>Documento </w:t>
            </w:r>
            <w:r>
              <w:rPr>
                <w:sz w:val="24"/>
              </w:rPr>
              <w:t>contendo o </w:t>
            </w:r>
            <w:r>
              <w:rPr>
                <w:spacing w:val="-2"/>
                <w:sz w:val="24"/>
              </w:rPr>
              <w:t>pronunciamento </w:t>
            </w:r>
            <w:r>
              <w:rPr>
                <w:sz w:val="24"/>
              </w:rPr>
              <w:t>técnico CPC 46 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mensuração de valor justo, atualizado até </w:t>
            </w:r>
            <w:r>
              <w:rPr>
                <w:spacing w:val="-2"/>
                <w:sz w:val="24"/>
              </w:rPr>
              <w:t>2012.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48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108"/>
              <w:rPr>
                <w:sz w:val="24"/>
              </w:rPr>
            </w:pPr>
            <w:r>
              <w:rPr>
                <w:spacing w:val="-2"/>
                <w:sz w:val="24"/>
              </w:rPr>
              <w:t>Instrumentos Financeiros: </w:t>
            </w:r>
            <w:r>
              <w:rPr>
                <w:sz w:val="24"/>
              </w:rPr>
              <w:t>Reconhecimento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 </w:t>
            </w:r>
            <w:r>
              <w:rPr>
                <w:spacing w:val="-2"/>
                <w:sz w:val="24"/>
              </w:rPr>
              <w:t>Mensuração (2016)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92"/>
              <w:rPr>
                <w:sz w:val="24"/>
              </w:rPr>
            </w:pPr>
            <w:r>
              <w:rPr>
                <w:spacing w:val="-2"/>
                <w:sz w:val="24"/>
              </w:rPr>
              <w:t>Pronunciamento </w:t>
            </w:r>
            <w:r>
              <w:rPr>
                <w:sz w:val="24"/>
              </w:rPr>
              <w:t>técnico sobre o </w:t>
            </w:r>
            <w:r>
              <w:rPr>
                <w:spacing w:val="-2"/>
                <w:sz w:val="24"/>
              </w:rPr>
              <w:t>reconhecimento, </w:t>
            </w:r>
            <w:r>
              <w:rPr>
                <w:sz w:val="24"/>
              </w:rPr>
              <w:t>mensuração e apresentação de </w:t>
            </w:r>
            <w:r>
              <w:rPr>
                <w:spacing w:val="-2"/>
                <w:sz w:val="24"/>
              </w:rPr>
              <w:t>instrumentos financeiros, </w:t>
            </w:r>
            <w:r>
              <w:rPr>
                <w:sz w:val="24"/>
              </w:rPr>
              <w:t>correlacionado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à IFRS 9.</w:t>
            </w:r>
          </w:p>
        </w:tc>
      </w:tr>
      <w:tr>
        <w:trPr>
          <w:trHeight w:val="254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49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159"/>
              <w:rPr>
                <w:sz w:val="24"/>
              </w:rPr>
            </w:pPr>
            <w:r>
              <w:rPr>
                <w:sz w:val="24"/>
              </w:rPr>
              <w:t>Contabilização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Planos de Benefícios de </w:t>
            </w:r>
            <w:r>
              <w:rPr>
                <w:spacing w:val="-2"/>
                <w:sz w:val="24"/>
              </w:rPr>
              <w:t>Aposentadoria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306"/>
              <w:rPr>
                <w:sz w:val="24"/>
              </w:rPr>
            </w:pPr>
            <w:r>
              <w:rPr>
                <w:sz w:val="24"/>
              </w:rPr>
              <w:t>Normas sobre a contabilização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 </w:t>
            </w:r>
            <w:r>
              <w:rPr>
                <w:spacing w:val="-2"/>
                <w:sz w:val="24"/>
              </w:rPr>
              <w:t>relatórios </w:t>
            </w:r>
            <w:r>
              <w:rPr>
                <w:sz w:val="24"/>
              </w:rPr>
              <w:t>contábeis de planos de benefícios de </w:t>
            </w:r>
            <w:r>
              <w:rPr>
                <w:spacing w:val="-2"/>
                <w:sz w:val="24"/>
              </w:rPr>
              <w:t>aposentadoria, </w:t>
            </w:r>
            <w:r>
              <w:rPr>
                <w:sz w:val="24"/>
              </w:rPr>
              <w:t>correlacionada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à IAS 26.</w:t>
            </w:r>
          </w:p>
        </w:tc>
      </w:tr>
    </w:tbl>
    <w:p>
      <w:pPr>
        <w:spacing w:after="0" w:line="242" w:lineRule="auto"/>
        <w:rPr>
          <w:sz w:val="24"/>
        </w:rPr>
        <w:sectPr>
          <w:type w:val="continuous"/>
          <w:pgSz w:w="16530" w:h="23390"/>
          <w:pgMar w:header="0" w:footer="864" w:top="1500" w:bottom="1060" w:left="880" w:right="2360"/>
        </w:sectPr>
      </w:pPr>
    </w:p>
    <w:tbl>
      <w:tblPr>
        <w:tblW w:w="0" w:type="auto"/>
        <w:jc w:val="left"/>
        <w:tblInd w:w="13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pacing w:val="-2"/>
                <w:sz w:val="24"/>
              </w:rPr>
              <w:t>Demonstrações Contábeis Intermediárias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Estabelece normas para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elaboração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 apresentação de </w:t>
            </w:r>
            <w:r>
              <w:rPr>
                <w:spacing w:val="-2"/>
                <w:sz w:val="24"/>
              </w:rPr>
              <w:t>demonstrações contábeis intermediárias, </w:t>
            </w:r>
            <w:r>
              <w:rPr>
                <w:sz w:val="24"/>
              </w:rPr>
              <w:t>correlacionada à IAS 34 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right="585"/>
              <w:rPr>
                <w:sz w:val="24"/>
              </w:rPr>
            </w:pPr>
            <w:r>
              <w:rPr>
                <w:sz w:val="24"/>
              </w:rPr>
              <w:t>CPC para Entidades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 </w:t>
            </w:r>
            <w:r>
              <w:rPr>
                <w:spacing w:val="-2"/>
                <w:sz w:val="24"/>
              </w:rPr>
              <w:t>Liquidação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Normas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específicas </w:t>
            </w:r>
            <w:r>
              <w:rPr>
                <w:spacing w:val="-4"/>
                <w:sz w:val="24"/>
              </w:rPr>
              <w:t>para </w:t>
            </w:r>
            <w:r>
              <w:rPr>
                <w:spacing w:val="-2"/>
                <w:sz w:val="24"/>
              </w:rPr>
              <w:t>reconhecimento, </w:t>
            </w:r>
            <w:r>
              <w:rPr>
                <w:sz w:val="24"/>
              </w:rPr>
              <w:t>mensuração e divulgação de ativos e passivos em entidades em processo de liquidação .</w:t>
            </w:r>
          </w:p>
        </w:tc>
      </w:tr>
      <w:tr>
        <w:trPr>
          <w:trHeight w:val="226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332"/>
              <w:rPr>
                <w:sz w:val="24"/>
              </w:rPr>
            </w:pPr>
            <w:r>
              <w:rPr>
                <w:sz w:val="24"/>
              </w:rPr>
              <w:t>Contratos de Concessão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14)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12"/>
              <w:rPr>
                <w:sz w:val="24"/>
              </w:rPr>
            </w:pPr>
            <w:r>
              <w:rPr>
                <w:spacing w:val="-2"/>
                <w:sz w:val="24"/>
              </w:rPr>
              <w:t>Interpretação </w:t>
            </w:r>
            <w:r>
              <w:rPr>
                <w:sz w:val="24"/>
              </w:rPr>
              <w:t>técnica ICPC 01 que trata da contabilização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contratos de </w:t>
            </w:r>
            <w:r>
              <w:rPr>
                <w:spacing w:val="-2"/>
                <w:sz w:val="24"/>
              </w:rPr>
              <w:t>concessão, </w:t>
            </w:r>
            <w:r>
              <w:rPr>
                <w:sz w:val="24"/>
              </w:rPr>
              <w:t>correlacionada à norma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IFRIC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12.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07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Distribuição de Lucros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Natura (Rev 01)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ICPC 07 aborda a distribuição de lucros in natura e sua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correlação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 as normas internacionais de </w:t>
            </w:r>
            <w:r>
              <w:rPr>
                <w:spacing w:val="-2"/>
                <w:sz w:val="24"/>
              </w:rPr>
              <w:t>contabilidade, </w:t>
            </w:r>
            <w:r>
              <w:rPr>
                <w:sz w:val="24"/>
              </w:rPr>
              <w:t>IFRIC 17.</w:t>
            </w:r>
          </w:p>
        </w:tc>
      </w:tr>
      <w:tr>
        <w:trPr>
          <w:trHeight w:val="198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78"/>
              <w:rPr>
                <w:sz w:val="24"/>
              </w:rPr>
            </w:pPr>
            <w:r>
              <w:rPr>
                <w:sz w:val="24"/>
              </w:rPr>
              <w:t>Contabilização da Proposta de Pagamento de Dividendos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(2012)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5"/>
              <w:rPr>
                <w:sz w:val="24"/>
              </w:rPr>
            </w:pPr>
            <w:r>
              <w:rPr>
                <w:sz w:val="24"/>
              </w:rPr>
              <w:t>Interpretação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ICPC 08 revisada, trata da contabilização de propostas de pagamento de dividendos e suas implicações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legais.</w:t>
            </w:r>
          </w:p>
        </w:tc>
      </w:tr>
      <w:tr>
        <w:trPr>
          <w:trHeight w:val="282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(R2)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65"/>
              <w:rPr>
                <w:sz w:val="24"/>
              </w:rPr>
            </w:pPr>
            <w:r>
              <w:rPr>
                <w:spacing w:val="-2"/>
                <w:sz w:val="24"/>
              </w:rPr>
              <w:t>Demonstrações Contábeis </w:t>
            </w:r>
            <w:r>
              <w:rPr>
                <w:sz w:val="24"/>
              </w:rPr>
              <w:t>Individuais e Consolidadas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(Rev </w:t>
            </w:r>
            <w:r>
              <w:rPr>
                <w:spacing w:val="-4"/>
                <w:sz w:val="24"/>
              </w:rPr>
              <w:t>09)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Trata dos </w:t>
            </w:r>
            <w:r>
              <w:rPr>
                <w:spacing w:val="-2"/>
                <w:sz w:val="24"/>
              </w:rPr>
              <w:t>procedimentos </w:t>
            </w:r>
            <w:r>
              <w:rPr>
                <w:sz w:val="24"/>
              </w:rPr>
              <w:t>contábeis para </w:t>
            </w:r>
            <w:r>
              <w:rPr>
                <w:spacing w:val="-2"/>
                <w:sz w:val="24"/>
              </w:rPr>
              <w:t>demonstrações individuais, </w:t>
            </w:r>
            <w:r>
              <w:rPr>
                <w:sz w:val="24"/>
              </w:rPr>
              <w:t>separadas e consolidadas,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 foco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 </w:t>
            </w:r>
            <w:r>
              <w:rPr>
                <w:spacing w:val="-2"/>
                <w:sz w:val="24"/>
              </w:rPr>
              <w:t>equivalência </w:t>
            </w:r>
            <w:r>
              <w:rPr>
                <w:sz w:val="24"/>
              </w:rPr>
              <w:t>patrimonial 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44"/>
              <w:ind w:right="252"/>
              <w:rPr>
                <w:sz w:val="24"/>
              </w:rPr>
            </w:pPr>
            <w:r>
              <w:rPr>
                <w:sz w:val="24"/>
              </w:rPr>
              <w:t>ICPC 10 -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Ativo Imobilizado e Propriedade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spacing w:val="-2"/>
                <w:sz w:val="24"/>
              </w:rPr>
              <w:t>Investimento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59"/>
              <w:rPr>
                <w:sz w:val="24"/>
              </w:rPr>
            </w:pPr>
            <w:r>
              <w:rPr>
                <w:spacing w:val="-2"/>
                <w:sz w:val="24"/>
              </w:rPr>
              <w:t>Documento </w:t>
            </w:r>
            <w:r>
              <w:rPr>
                <w:sz w:val="24"/>
              </w:rPr>
              <w:t>técnico ICPC 10, que interpreta a aplicação inicial das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CPCs sobre ativo imobilizado e propriedade para </w:t>
            </w:r>
            <w:r>
              <w:rPr>
                <w:spacing w:val="-2"/>
                <w:sz w:val="24"/>
              </w:rPr>
              <w:t>investimento.</w:t>
            </w:r>
          </w:p>
        </w:tc>
      </w:tr>
      <w:tr>
        <w:trPr>
          <w:trHeight w:val="226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"/>
              <w:ind w:right="252"/>
              <w:rPr>
                <w:sz w:val="24"/>
              </w:rPr>
            </w:pPr>
            <w:r>
              <w:rPr>
                <w:sz w:val="24"/>
              </w:rPr>
              <w:t>ICPC 10 -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Ativo Imobilizado e Propriedade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spacing w:val="-2"/>
                <w:sz w:val="24"/>
              </w:rPr>
              <w:t>Investimento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39"/>
              <w:rPr>
                <w:sz w:val="24"/>
              </w:rPr>
            </w:pPr>
            <w:r>
              <w:rPr>
                <w:sz w:val="24"/>
              </w:rPr>
              <w:t>Interpretação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 a aplicação inicial ao ativo imobilizado e à propriedade para investimento dos CPCs 27, 28, 37 e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6530" w:h="23390"/>
          <w:pgMar w:header="0" w:footer="864" w:top="1500" w:bottom="1060" w:left="880" w:right="2360"/>
        </w:sectPr>
      </w:pPr>
    </w:p>
    <w:tbl>
      <w:tblPr>
        <w:tblW w:w="0" w:type="auto"/>
        <w:jc w:val="left"/>
        <w:tblInd w:w="13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(Rev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13)</w:t>
            </w:r>
          </w:p>
          <w:p>
            <w:pPr>
              <w:pStyle w:val="TableParagraph"/>
              <w:spacing w:line="242" w:lineRule="auto" w:before="4"/>
              <w:ind w:right="541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Passivos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por Desativação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 </w:t>
            </w:r>
            <w:r>
              <w:rPr>
                <w:spacing w:val="-2"/>
                <w:sz w:val="24"/>
              </w:rPr>
              <w:t>Restauração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85"/>
              <w:rPr>
                <w:sz w:val="24"/>
              </w:rPr>
            </w:pPr>
            <w:r>
              <w:rPr>
                <w:sz w:val="24"/>
              </w:rPr>
              <w:t>Orientação sobre mudanças em passivos de </w:t>
            </w:r>
            <w:r>
              <w:rPr>
                <w:spacing w:val="-2"/>
                <w:sz w:val="24"/>
              </w:rPr>
              <w:t>desativação, </w:t>
            </w:r>
            <w:r>
              <w:rPr>
                <w:sz w:val="24"/>
              </w:rPr>
              <w:t>restauração e passivos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similares, correlacionada à IFRIC 1.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(Rev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12)</w:t>
            </w:r>
          </w:p>
          <w:p>
            <w:pPr>
              <w:pStyle w:val="TableParagraph"/>
              <w:spacing w:line="242" w:lineRule="auto" w:before="4"/>
              <w:ind w:right="715"/>
              <w:jc w:val="both"/>
              <w:rPr>
                <w:sz w:val="24"/>
              </w:rPr>
            </w:pPr>
            <w:r>
              <w:rPr>
                <w:sz w:val="24"/>
              </w:rPr>
              <w:t>- Fundos de </w:t>
            </w:r>
            <w:r>
              <w:rPr>
                <w:spacing w:val="-2"/>
                <w:sz w:val="24"/>
              </w:rPr>
              <w:t>Desativação Ambiental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Aborda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direitos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 participações em fundos de </w:t>
            </w:r>
            <w:r>
              <w:rPr>
                <w:spacing w:val="-2"/>
                <w:sz w:val="24"/>
              </w:rPr>
              <w:t>desativação, </w:t>
            </w:r>
            <w:r>
              <w:rPr>
                <w:sz w:val="24"/>
              </w:rPr>
              <w:t>restauração e </w:t>
            </w:r>
            <w:r>
              <w:rPr>
                <w:spacing w:val="-2"/>
                <w:sz w:val="24"/>
              </w:rPr>
              <w:t>reabilitação ambiental, </w:t>
            </w:r>
            <w:r>
              <w:rPr>
                <w:sz w:val="24"/>
              </w:rPr>
              <w:t>correlacionada à IFRIC 5.</w:t>
            </w:r>
          </w:p>
        </w:tc>
      </w:tr>
      <w:tr>
        <w:trPr>
          <w:trHeight w:val="254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Resíduos de </w:t>
            </w:r>
            <w:r>
              <w:rPr>
                <w:spacing w:val="-2"/>
                <w:sz w:val="24"/>
              </w:rPr>
              <w:t>Equipamentos Eletroeletrônicos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88"/>
              <w:rPr>
                <w:sz w:val="24"/>
              </w:rPr>
            </w:pPr>
            <w:r>
              <w:rPr>
                <w:spacing w:val="-2"/>
                <w:sz w:val="24"/>
              </w:rPr>
              <w:t>Interpretação </w:t>
            </w:r>
            <w:r>
              <w:rPr>
                <w:sz w:val="24"/>
              </w:rPr>
              <w:t>técnica sobre </w:t>
            </w:r>
            <w:r>
              <w:rPr>
                <w:spacing w:val="-2"/>
                <w:sz w:val="24"/>
              </w:rPr>
              <w:t>passivos </w:t>
            </w:r>
            <w:r>
              <w:rPr>
                <w:sz w:val="24"/>
              </w:rPr>
              <w:t>decorrentes de resíduos de </w:t>
            </w:r>
            <w:r>
              <w:rPr>
                <w:spacing w:val="-2"/>
                <w:sz w:val="24"/>
              </w:rPr>
              <w:t>equipamentos eletroeletrônicos, </w:t>
            </w:r>
            <w:r>
              <w:rPr>
                <w:sz w:val="24"/>
              </w:rPr>
              <w:t>correlacionada à IFRIC 6.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(Rev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14)</w:t>
            </w:r>
          </w:p>
          <w:p>
            <w:pPr>
              <w:pStyle w:val="TableParagraph"/>
              <w:spacing w:line="242" w:lineRule="auto" w:before="4"/>
              <w:ind w:right="587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Extinção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 Passivos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 </w:t>
            </w:r>
            <w:r>
              <w:rPr>
                <w:spacing w:val="-2"/>
                <w:sz w:val="24"/>
              </w:rPr>
              <w:t>Instrumentos Patrimoniais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88"/>
              <w:rPr>
                <w:sz w:val="24"/>
              </w:rPr>
            </w:pPr>
            <w:r>
              <w:rPr>
                <w:sz w:val="24"/>
              </w:rPr>
              <w:t>Trata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extinção de passivos financeiros por meio da emissão de instrumentos </w:t>
            </w:r>
            <w:r>
              <w:rPr>
                <w:spacing w:val="-2"/>
                <w:sz w:val="24"/>
              </w:rPr>
              <w:t>patrimoniais, </w:t>
            </w:r>
            <w:r>
              <w:rPr>
                <w:sz w:val="24"/>
              </w:rPr>
              <w:t>correlacionada à IFRIC 19.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(Rev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14)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Contratos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Concessão: Evidenciação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48"/>
              <w:rPr>
                <w:sz w:val="24"/>
              </w:rPr>
            </w:pPr>
            <w:r>
              <w:rPr>
                <w:spacing w:val="-2"/>
                <w:sz w:val="24"/>
              </w:rPr>
              <w:t>Fornece </w:t>
            </w:r>
            <w:r>
              <w:rPr>
                <w:sz w:val="24"/>
              </w:rPr>
              <w:t>orientações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evidenciação </w:t>
            </w:r>
            <w:r>
              <w:rPr>
                <w:sz w:val="24"/>
              </w:rPr>
              <w:t>contábil em contratos de </w:t>
            </w:r>
            <w:r>
              <w:rPr>
                <w:spacing w:val="-2"/>
                <w:sz w:val="24"/>
              </w:rPr>
              <w:t>concessão, </w:t>
            </w:r>
            <w:r>
              <w:rPr>
                <w:sz w:val="24"/>
              </w:rPr>
              <w:t>correlacionada à SIC 29.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44"/>
              <w:ind w:right="88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18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Custos de Remoção de Estéril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Fase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Produção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42"/>
              <w:rPr>
                <w:sz w:val="24"/>
              </w:rPr>
            </w:pPr>
            <w:r>
              <w:rPr>
                <w:sz w:val="24"/>
              </w:rPr>
              <w:t>Interpretação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 a contabilização dos custos de remoção de estéril em minas de superfície durante a fase produtiva, correlacionada à IFRIC 20 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Tributos (Correlação à IFRIC 21)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65"/>
              <w:rPr>
                <w:sz w:val="24"/>
              </w:rPr>
            </w:pPr>
            <w:r>
              <w:rPr>
                <w:sz w:val="24"/>
              </w:rPr>
              <w:t>Orienta sobre o reconhecimento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obrigações </w:t>
            </w:r>
            <w:r>
              <w:rPr>
                <w:sz w:val="24"/>
              </w:rPr>
              <w:t>tributárias no momento em que ocorre o fato </w:t>
            </w:r>
            <w:r>
              <w:rPr>
                <w:spacing w:val="-2"/>
                <w:sz w:val="24"/>
              </w:rPr>
              <w:t>gerador, </w:t>
            </w:r>
            <w:r>
              <w:rPr>
                <w:sz w:val="24"/>
              </w:rPr>
              <w:t>correlacionada à IFRIC 21 .</w:t>
            </w:r>
          </w:p>
        </w:tc>
      </w:tr>
      <w:tr>
        <w:trPr>
          <w:trHeight w:val="226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44"/>
              <w:ind w:right="25"/>
              <w:rPr>
                <w:sz w:val="24"/>
              </w:rPr>
            </w:pPr>
            <w:r>
              <w:rPr>
                <w:sz w:val="24"/>
              </w:rPr>
              <w:t>ICPC 20 - Limite de Ativo de </w:t>
            </w:r>
            <w:r>
              <w:rPr>
                <w:spacing w:val="-2"/>
                <w:sz w:val="24"/>
              </w:rPr>
              <w:t>Benefício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Definido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39"/>
              <w:rPr>
                <w:sz w:val="24"/>
              </w:rPr>
            </w:pPr>
            <w:r>
              <w:rPr>
                <w:sz w:val="24"/>
              </w:rPr>
              <w:t>Interpretação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 o limite de ativos de benefícios definidos e requisitos de custeio mínimo, correlacionada à IFRIC 14 .</w:t>
            </w:r>
          </w:p>
        </w:tc>
      </w:tr>
    </w:tbl>
    <w:p>
      <w:pPr>
        <w:spacing w:after="0" w:line="242" w:lineRule="auto"/>
        <w:rPr>
          <w:sz w:val="24"/>
        </w:rPr>
        <w:sectPr>
          <w:type w:val="continuous"/>
          <w:pgSz w:w="16530" w:h="23390"/>
          <w:pgMar w:header="0" w:footer="864" w:top="1500" w:bottom="1060" w:left="880" w:right="2360"/>
        </w:sectPr>
      </w:pPr>
    </w:p>
    <w:tbl>
      <w:tblPr>
        <w:tblW w:w="0" w:type="auto"/>
        <w:jc w:val="left"/>
        <w:tblInd w:w="13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ICPC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65"/>
              <w:rPr>
                <w:sz w:val="24"/>
              </w:rPr>
            </w:pPr>
            <w:r>
              <w:rPr>
                <w:sz w:val="24"/>
              </w:rPr>
              <w:t>Transações em Moeda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Estrangeira 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Adiantamento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5"/>
              <w:rPr>
                <w:sz w:val="24"/>
              </w:rPr>
            </w:pPr>
            <w:r>
              <w:rPr>
                <w:sz w:val="24"/>
              </w:rPr>
              <w:t>Trata de como determinar a taxa de câmbio para o reconhecimento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ativos e passivos 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transações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 moeda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estrangeira, correlacionada à IFRIC 22 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 w:before="1"/>
              <w:rPr>
                <w:sz w:val="24"/>
              </w:rPr>
            </w:pPr>
            <w:r>
              <w:rPr>
                <w:sz w:val="24"/>
              </w:rPr>
              <w:t>ITG 22 - Incerteza sobre Tratamento 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Tributos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 </w:t>
            </w:r>
            <w:r>
              <w:rPr>
                <w:spacing w:val="-4"/>
                <w:sz w:val="24"/>
              </w:rPr>
              <w:t>Lucro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Norma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trata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 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reconhecer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 mensurar tributos sobre o lucro em cenários de </w:t>
            </w:r>
            <w:r>
              <w:rPr>
                <w:spacing w:val="-2"/>
                <w:sz w:val="24"/>
              </w:rPr>
              <w:t>incerteza, </w:t>
            </w:r>
            <w:r>
              <w:rPr>
                <w:sz w:val="24"/>
              </w:rPr>
              <w:t>correlacionada à IFRIC 23 .</w:t>
            </w:r>
          </w:p>
        </w:tc>
      </w:tr>
      <w:tr>
        <w:trPr>
          <w:trHeight w:val="282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ITG 23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465"/>
              <w:rPr>
                <w:sz w:val="24"/>
              </w:rPr>
            </w:pPr>
            <w:r>
              <w:rPr>
                <w:sz w:val="24"/>
              </w:rPr>
              <w:t>Abordagem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Atualização Monetária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5"/>
              <w:rPr>
                <w:sz w:val="24"/>
              </w:rPr>
            </w:pPr>
            <w:r>
              <w:rPr>
                <w:sz w:val="24"/>
              </w:rPr>
              <w:t>Norma que orienta a aplicação da </w:t>
            </w:r>
            <w:r>
              <w:rPr>
                <w:spacing w:val="-2"/>
                <w:sz w:val="24"/>
              </w:rPr>
              <w:t>atualização </w:t>
            </w:r>
            <w:r>
              <w:rPr>
                <w:sz w:val="24"/>
              </w:rPr>
              <w:t>monetária nas </w:t>
            </w:r>
            <w:r>
              <w:rPr>
                <w:spacing w:val="-2"/>
                <w:sz w:val="24"/>
              </w:rPr>
              <w:t>demonstrações </w:t>
            </w:r>
            <w:r>
              <w:rPr>
                <w:sz w:val="24"/>
              </w:rPr>
              <w:t>contábeis em </w:t>
            </w:r>
            <w:r>
              <w:rPr>
                <w:spacing w:val="-2"/>
                <w:sz w:val="24"/>
              </w:rPr>
              <w:t>economias hiperinflacionárias, </w:t>
            </w:r>
            <w:r>
              <w:rPr>
                <w:sz w:val="24"/>
              </w:rPr>
              <w:t>correlacionada à NBC TG 42 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NBC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TG </w:t>
            </w:r>
            <w:r>
              <w:rPr>
                <w:spacing w:val="-4"/>
                <w:sz w:val="24"/>
              </w:rPr>
              <w:t>1000</w:t>
            </w:r>
          </w:p>
          <w:p>
            <w:pPr>
              <w:pStyle w:val="TableParagraph"/>
              <w:spacing w:line="242" w:lineRule="auto" w:before="4"/>
              <w:ind w:right="238"/>
              <w:rPr>
                <w:sz w:val="24"/>
              </w:rPr>
            </w:pPr>
            <w:r>
              <w:rPr>
                <w:sz w:val="24"/>
              </w:rPr>
              <w:t>(R1) - Normas Contábeis para Microempresas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 </w:t>
            </w:r>
            <w:r>
              <w:rPr>
                <w:spacing w:val="-2"/>
                <w:sz w:val="24"/>
              </w:rPr>
              <w:t>Pequenas Empresas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5"/>
              <w:rPr>
                <w:sz w:val="24"/>
              </w:rPr>
            </w:pPr>
            <w:r>
              <w:rPr>
                <w:sz w:val="24"/>
              </w:rPr>
              <w:t>Normas aplicáveis 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plano de contas e </w:t>
            </w:r>
            <w:r>
              <w:rPr>
                <w:spacing w:val="-2"/>
                <w:sz w:val="24"/>
              </w:rPr>
              <w:t>demonstrações </w:t>
            </w:r>
            <w:r>
              <w:rPr>
                <w:sz w:val="24"/>
              </w:rPr>
              <w:t>contábeis para microempresas e pequenas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empresas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NBC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TG 1001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68"/>
              <w:rPr>
                <w:sz w:val="24"/>
              </w:rPr>
            </w:pPr>
            <w:r>
              <w:rPr>
                <w:sz w:val="24"/>
              </w:rPr>
              <w:t>Contabilidade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spacing w:val="-2"/>
                <w:sz w:val="24"/>
              </w:rPr>
              <w:t>Pequenas Empresas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39"/>
              <w:rPr>
                <w:sz w:val="24"/>
              </w:rPr>
            </w:pPr>
            <w:r>
              <w:rPr>
                <w:sz w:val="24"/>
              </w:rPr>
              <w:t>Normas que </w:t>
            </w:r>
            <w:r>
              <w:rPr>
                <w:spacing w:val="-2"/>
                <w:sz w:val="24"/>
              </w:rPr>
              <w:t>estabelecem critérios </w:t>
            </w:r>
            <w:r>
              <w:rPr>
                <w:sz w:val="24"/>
              </w:rPr>
              <w:t>simplificados para a contabilidade de pequenas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empresas com receita bruta anual até R$78 milhões .</w:t>
            </w:r>
          </w:p>
        </w:tc>
      </w:tr>
      <w:tr>
        <w:trPr>
          <w:trHeight w:val="282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NBC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TG 1002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65"/>
              <w:rPr>
                <w:sz w:val="24"/>
              </w:rPr>
            </w:pPr>
            <w:r>
              <w:rPr>
                <w:sz w:val="24"/>
              </w:rPr>
              <w:t>Contabilidade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spacing w:val="-2"/>
                <w:sz w:val="24"/>
              </w:rPr>
              <w:t>Microentidades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01"/>
              <w:rPr>
                <w:sz w:val="24"/>
              </w:rPr>
            </w:pPr>
            <w:r>
              <w:rPr>
                <w:sz w:val="24"/>
              </w:rPr>
              <w:t>Normas contábeis específicas para </w:t>
            </w:r>
            <w:r>
              <w:rPr>
                <w:spacing w:val="-2"/>
                <w:sz w:val="24"/>
              </w:rPr>
              <w:t>microentidades </w:t>
            </w:r>
            <w:r>
              <w:rPr>
                <w:sz w:val="24"/>
              </w:rPr>
              <w:t>com receita bruta anual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até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R$4,8 milhões, tratando de demonstrações contábeis e </w:t>
            </w:r>
            <w:r>
              <w:rPr>
                <w:spacing w:val="-2"/>
                <w:sz w:val="24"/>
              </w:rPr>
              <w:t>práticas </w:t>
            </w:r>
            <w:r>
              <w:rPr>
                <w:sz w:val="24"/>
              </w:rPr>
              <w:t>simplificadas 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01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621"/>
              <w:jc w:val="both"/>
              <w:rPr>
                <w:sz w:val="24"/>
              </w:rPr>
            </w:pPr>
            <w:r>
              <w:rPr>
                <w:sz w:val="24"/>
              </w:rPr>
              <w:t>Entidades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Incorporação Imobiliária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45"/>
              <w:rPr>
                <w:sz w:val="24"/>
              </w:rPr>
            </w:pPr>
            <w:r>
              <w:rPr>
                <w:sz w:val="24"/>
              </w:rPr>
              <w:t>Orientação sobre práticas contábeis para entidades de </w:t>
            </w:r>
            <w:r>
              <w:rPr>
                <w:spacing w:val="-2"/>
                <w:sz w:val="24"/>
              </w:rPr>
              <w:t>incorporação imobiliária, </w:t>
            </w:r>
            <w:r>
              <w:rPr>
                <w:sz w:val="24"/>
              </w:rPr>
              <w:t>abrangendo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custos, comissões e </w:t>
            </w:r>
            <w:r>
              <w:rPr>
                <w:spacing w:val="-2"/>
                <w:sz w:val="24"/>
              </w:rPr>
              <w:t>garantias.</w:t>
            </w:r>
          </w:p>
        </w:tc>
      </w:tr>
      <w:tr>
        <w:trPr>
          <w:trHeight w:val="254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02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pacing w:val="-2"/>
                <w:sz w:val="24"/>
              </w:rPr>
              <w:t>Esclarecimentos </w:t>
            </w:r>
            <w:r>
              <w:rPr>
                <w:sz w:val="24"/>
              </w:rPr>
              <w:t>sobre as </w:t>
            </w:r>
            <w:r>
              <w:rPr>
                <w:spacing w:val="-2"/>
                <w:sz w:val="24"/>
              </w:rPr>
              <w:t>Demonstrações </w:t>
            </w:r>
            <w:r>
              <w:rPr>
                <w:sz w:val="24"/>
              </w:rPr>
              <w:t>Contábeis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2008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25"/>
              <w:rPr>
                <w:sz w:val="24"/>
              </w:rPr>
            </w:pPr>
            <w:r>
              <w:rPr>
                <w:sz w:val="24"/>
              </w:rPr>
              <w:t>Aborda dúvidas comuns sobre a aplicação de normas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contábeis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 </w:t>
            </w:r>
            <w:r>
              <w:rPr>
                <w:spacing w:val="-2"/>
                <w:sz w:val="24"/>
              </w:rPr>
              <w:t>esclarecimentos sobre demonstrações </w:t>
            </w:r>
            <w:r>
              <w:rPr>
                <w:sz w:val="24"/>
              </w:rPr>
              <w:t>contábeis para </w:t>
            </w:r>
            <w:r>
              <w:rPr>
                <w:spacing w:val="-2"/>
                <w:sz w:val="24"/>
              </w:rPr>
              <w:t>2008.</w:t>
            </w:r>
          </w:p>
        </w:tc>
      </w:tr>
    </w:tbl>
    <w:p>
      <w:pPr>
        <w:spacing w:after="0" w:line="242" w:lineRule="auto"/>
        <w:rPr>
          <w:sz w:val="24"/>
        </w:rPr>
        <w:sectPr>
          <w:type w:val="continuous"/>
          <w:pgSz w:w="16530" w:h="23390"/>
          <w:pgMar w:header="0" w:footer="864" w:top="1500" w:bottom="1060" w:left="880" w:right="2360"/>
        </w:sectPr>
      </w:pPr>
    </w:p>
    <w:tbl>
      <w:tblPr>
        <w:tblW w:w="0" w:type="auto"/>
        <w:jc w:val="left"/>
        <w:tblInd w:w="13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960"/>
      </w:tblGrid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04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rPr>
                <w:sz w:val="24"/>
              </w:rPr>
            </w:pPr>
            <w:r>
              <w:rPr>
                <w:sz w:val="24"/>
              </w:rPr>
              <w:t>Aplicação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ICPC 02 para Entidades de Incorporação </w:t>
            </w:r>
            <w:r>
              <w:rPr>
                <w:spacing w:val="-2"/>
                <w:sz w:val="24"/>
              </w:rPr>
              <w:t>Imobiliária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88"/>
              <w:rPr>
                <w:sz w:val="24"/>
              </w:rPr>
            </w:pPr>
            <w:r>
              <w:rPr>
                <w:sz w:val="24"/>
              </w:rPr>
              <w:t>Orientação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 aplicação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ICPC 02 para o setor </w:t>
            </w:r>
            <w:r>
              <w:rPr>
                <w:spacing w:val="-2"/>
                <w:sz w:val="24"/>
              </w:rPr>
              <w:t>imobiliário brasileiro, abordando </w:t>
            </w:r>
            <w:r>
              <w:rPr>
                <w:sz w:val="24"/>
              </w:rPr>
              <w:t>contratos de construção e </w:t>
            </w:r>
            <w:r>
              <w:rPr>
                <w:spacing w:val="-2"/>
                <w:sz w:val="24"/>
              </w:rPr>
              <w:t>vendas.</w:t>
            </w:r>
          </w:p>
        </w:tc>
      </w:tr>
      <w:tr>
        <w:trPr>
          <w:trHeight w:val="198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OCPC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05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65"/>
              <w:rPr>
                <w:sz w:val="24"/>
              </w:rPr>
            </w:pPr>
            <w:r>
              <w:rPr>
                <w:sz w:val="24"/>
              </w:rPr>
              <w:t>Orientação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 reconhecimento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receita em </w:t>
            </w:r>
            <w:r>
              <w:rPr>
                <w:spacing w:val="-2"/>
                <w:sz w:val="24"/>
              </w:rPr>
              <w:t>contratos imobiliários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Aborda a contabilização da receita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custos em contratos de </w:t>
            </w:r>
            <w:r>
              <w:rPr>
                <w:spacing w:val="-2"/>
                <w:sz w:val="24"/>
              </w:rPr>
              <w:t>incorporação </w:t>
            </w:r>
            <w:r>
              <w:rPr>
                <w:sz w:val="24"/>
              </w:rPr>
              <w:t>imobiliária no </w:t>
            </w:r>
            <w:r>
              <w:rPr>
                <w:spacing w:val="-2"/>
                <w:sz w:val="24"/>
              </w:rPr>
              <w:t>Brasil.</w:t>
            </w:r>
          </w:p>
        </w:tc>
      </w:tr>
      <w:tr>
        <w:trPr>
          <w:trHeight w:val="2546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06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292"/>
              <w:rPr>
                <w:sz w:val="24"/>
              </w:rPr>
            </w:pPr>
            <w:r>
              <w:rPr>
                <w:sz w:val="24"/>
              </w:rPr>
              <w:t>Apresentação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Informações </w:t>
            </w:r>
            <w:r>
              <w:rPr>
                <w:sz w:val="24"/>
              </w:rPr>
              <w:t>Financeiras Pro </w:t>
            </w:r>
            <w:r>
              <w:rPr>
                <w:spacing w:val="-2"/>
                <w:sz w:val="24"/>
              </w:rPr>
              <w:t>Forma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92"/>
              <w:rPr>
                <w:sz w:val="24"/>
              </w:rPr>
            </w:pPr>
            <w:r>
              <w:rPr>
                <w:sz w:val="24"/>
              </w:rPr>
              <w:t>Orientação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técnica 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elaboração de informações financeiras pro forma em caso de </w:t>
            </w:r>
            <w:r>
              <w:rPr>
                <w:spacing w:val="-2"/>
                <w:sz w:val="24"/>
              </w:rPr>
              <w:t>reestruturações societárias, </w:t>
            </w:r>
            <w:r>
              <w:rPr>
                <w:sz w:val="24"/>
              </w:rPr>
              <w:t>aquisições e </w:t>
            </w:r>
            <w:r>
              <w:rPr>
                <w:spacing w:val="-2"/>
                <w:sz w:val="24"/>
              </w:rPr>
              <w:t>fusões.</w:t>
            </w:r>
          </w:p>
        </w:tc>
      </w:tr>
      <w:tr>
        <w:trPr>
          <w:trHeight w:val="226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OCPC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07 (R1)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202"/>
              <w:rPr>
                <w:sz w:val="24"/>
              </w:rPr>
            </w:pPr>
            <w:r>
              <w:rPr>
                <w:sz w:val="24"/>
              </w:rPr>
              <w:t>Evidenciação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nos </w:t>
            </w:r>
            <w:r>
              <w:rPr>
                <w:spacing w:val="-2"/>
                <w:sz w:val="24"/>
              </w:rPr>
              <w:t>Relatórios Contábil- Financeiros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175"/>
              <w:rPr>
                <w:sz w:val="24"/>
              </w:rPr>
            </w:pPr>
            <w:r>
              <w:rPr>
                <w:sz w:val="24"/>
              </w:rPr>
              <w:t>Orientação sobre divulgação de informações em notas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explicativas nos relatórios </w:t>
            </w:r>
            <w:r>
              <w:rPr>
                <w:spacing w:val="-2"/>
                <w:sz w:val="24"/>
              </w:rPr>
              <w:t>contábil- </w:t>
            </w:r>
            <w:r>
              <w:rPr>
                <w:sz w:val="24"/>
              </w:rPr>
              <w:t>financeiros para fins gerais 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OCPC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08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225"/>
              <w:rPr>
                <w:sz w:val="24"/>
              </w:rPr>
            </w:pPr>
            <w:r>
              <w:rPr>
                <w:sz w:val="24"/>
              </w:rPr>
              <w:t>Relatórios de Distribuidoras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Energia Elétrica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ind w:right="65"/>
              <w:rPr>
                <w:sz w:val="24"/>
              </w:rPr>
            </w:pPr>
            <w:r>
              <w:rPr>
                <w:sz w:val="24"/>
              </w:rPr>
              <w:t>Orientação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 reconhecimento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ativos e passivos em relatórios de distribuidoras de energia elétrica, correlacionada às normas brasileiras e internacionais .</w:t>
            </w:r>
          </w:p>
        </w:tc>
      </w:tr>
      <w:tr>
        <w:trPr>
          <w:trHeight w:val="2547" w:hRule="atLeast"/>
        </w:trPr>
        <w:tc>
          <w:tcPr>
            <w:tcW w:w="1960" w:type="dxa"/>
            <w:tcBorders>
              <w:right w:val="single" w:sz="8" w:space="0" w:color="3F3F3F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OTG 2003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42" w:lineRule="auto" w:before="4"/>
              <w:ind w:right="88"/>
              <w:rPr>
                <w:sz w:val="24"/>
              </w:rPr>
            </w:pPr>
            <w:r>
              <w:rPr>
                <w:sz w:val="24"/>
              </w:rPr>
              <w:t>Contratos de Cessão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Direitos </w:t>
            </w:r>
            <w:r>
              <w:rPr>
                <w:spacing w:val="-2"/>
                <w:sz w:val="24"/>
              </w:rPr>
              <w:t>Esportivos</w:t>
            </w:r>
          </w:p>
        </w:tc>
        <w:tc>
          <w:tcPr>
            <w:tcW w:w="1960" w:type="dxa"/>
            <w:tcBorders>
              <w:left w:val="single" w:sz="8" w:space="0" w:color="3F3F3F"/>
            </w:tcBorders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Norma que orienta sobre a contabilização de contratos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cessão onerosa de direitos de transmissão, bilheteria e atletas em entidades esportivas .</w:t>
            </w:r>
          </w:p>
        </w:tc>
      </w:tr>
    </w:tbl>
    <w:sectPr>
      <w:type w:val="continuous"/>
      <w:pgSz w:w="16530" w:h="23390"/>
      <w:pgMar w:header="0" w:footer="864" w:top="1500" w:bottom="1060" w:left="880" w:right="2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 Neue">
    <w:altName w:val="Helvetica Neue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8448">
              <wp:simplePos x="0" y="0"/>
              <wp:positionH relativeFrom="page">
                <wp:posOffset>5083716</wp:posOffset>
              </wp:positionH>
              <wp:positionV relativeFrom="page">
                <wp:posOffset>14163592</wp:posOffset>
              </wp:positionV>
              <wp:extent cx="323215" cy="2705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3215" cy="270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0.292603pt;margin-top:1115.24353pt;width:25.45pt;height:21.3pt;mso-position-horizontal-relative:page;mso-position-vertical-relative:page;z-index:-161080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 Neue" w:hAnsi="Helvetica Neue" w:eastAsia="Helvetica Neue" w:cs="Helvetica Neue"/>
      <w:sz w:val="33"/>
      <w:szCs w:val="33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</dc:title>
  <dcterms:created xsi:type="dcterms:W3CDTF">2025-03-04T15:19:11Z</dcterms:created>
  <dcterms:modified xsi:type="dcterms:W3CDTF">2025-03-04T15:19:11Z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Numbers</vt:lpwstr>
  </property>
  <property fmtid="{D5CDD505-2E9C-101B-9397-08002B2CF9AE}" pid="4" name="LastSaved">
    <vt:filetime>2025-03-04T00:00:00Z</vt:filetime>
  </property>
  <property fmtid="{D5CDD505-2E9C-101B-9397-08002B2CF9AE}" pid="5" name="Producer">
    <vt:lpwstr>macOS Version 15.0 (Build 24A335) Quartz PDFContext</vt:lpwstr>
  </property>
</Properties>
</file>