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08"/>
        <w:ind w:left="1837" w:right="1844" w:firstLine="0"/>
        <w:jc w:val="center"/>
        <w:rPr>
          <w:b/>
          <w:sz w:val="28"/>
        </w:rPr>
      </w:pPr>
      <w:r>
        <w:rPr>
          <w:b/>
          <w:sz w:val="28"/>
        </w:rPr>
        <w:t>EFD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ICMS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IPI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before="1"/>
        <w:ind w:left="846" w:right="850" w:firstLine="0"/>
        <w:jc w:val="center"/>
        <w:rPr>
          <w:b/>
          <w:sz w:val="28"/>
        </w:rPr>
      </w:pPr>
      <w:r>
        <w:rPr>
          <w:b/>
          <w:sz w:val="28"/>
        </w:rPr>
        <w:t>Nota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Orientativa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01/2023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ICMS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Monofásico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setor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combustíveis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spacing w:before="0"/>
        <w:ind w:left="1838" w:right="1844" w:firstLine="0"/>
        <w:jc w:val="center"/>
        <w:rPr>
          <w:b/>
          <w:sz w:val="28"/>
        </w:rPr>
      </w:pPr>
      <w:r>
        <w:rPr>
          <w:b/>
          <w:sz w:val="28"/>
        </w:rPr>
        <w:t>Orientação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para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escrituração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ICMS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monofásico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838" w:right="1844" w:firstLine="0"/>
        <w:jc w:val="center"/>
        <w:rPr>
          <w:b/>
          <w:sz w:val="28"/>
        </w:rPr>
      </w:pPr>
      <w:r>
        <w:rPr>
          <w:b/>
          <w:sz w:val="28"/>
        </w:rPr>
        <w:t>Agosto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2023</w:t>
      </w:r>
    </w:p>
    <w:p>
      <w:pPr>
        <w:spacing w:after="0"/>
        <w:jc w:val="center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1142" w:footer="1006" w:top="1860" w:bottom="1200" w:left="1020" w:right="900"/>
          <w:pgNumType w:start="1"/>
        </w:sectPr>
      </w:pPr>
    </w:p>
    <w:p>
      <w:pPr>
        <w:spacing w:before="78"/>
        <w:ind w:left="1832" w:right="1844" w:firstLine="0"/>
        <w:jc w:val="center"/>
        <w:rPr>
          <w:b/>
          <w:sz w:val="26"/>
        </w:rPr>
      </w:pPr>
      <w:r>
        <w:rPr>
          <w:b/>
          <w:sz w:val="26"/>
        </w:rPr>
        <w:t>Escrituração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do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ICMS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monofásico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88" w:lineRule="auto"/>
        <w:ind w:left="113" w:right="118" w:firstLine="708"/>
        <w:jc w:val="both"/>
      </w:pPr>
      <w:r>
        <w:rPr/>
        <w:t>Esta nota orientativa instrui a</w:t>
      </w:r>
      <w:r>
        <w:rPr>
          <w:spacing w:val="-3"/>
        </w:rPr>
        <w:t> </w:t>
      </w:r>
      <w:r>
        <w:rPr/>
        <w:t>escrituração de</w:t>
      </w:r>
      <w:r>
        <w:rPr>
          <w:spacing w:val="-1"/>
        </w:rPr>
        <w:t> </w:t>
      </w:r>
      <w:r>
        <w:rPr/>
        <w:t>operações</w:t>
      </w:r>
      <w:r>
        <w:rPr>
          <w:spacing w:val="-1"/>
        </w:rPr>
        <w:t> </w:t>
      </w:r>
      <w:r>
        <w:rPr/>
        <w:t>com ICMS</w:t>
      </w:r>
      <w:r>
        <w:rPr>
          <w:spacing w:val="-1"/>
        </w:rPr>
        <w:t> </w:t>
      </w:r>
      <w:r>
        <w:rPr/>
        <w:t>monofásico,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novos</w:t>
      </w:r>
      <w:r>
        <w:rPr>
          <w:spacing w:val="-1"/>
        </w:rPr>
        <w:t> </w:t>
      </w:r>
      <w:r>
        <w:rPr/>
        <w:t>CSTs</w:t>
      </w:r>
      <w:r>
        <w:rPr>
          <w:spacing w:val="-1"/>
        </w:rPr>
        <w:t> </w:t>
      </w:r>
      <w:r>
        <w:rPr/>
        <w:t>criados pelo Ajuste Sinief 01/2023. Com a publicação da NT 2.023.001 da NFe/NFCe, adotando os CSTs 02, 15, 53 e 61, a escrituração das operações seguirá as instruções que se acrescentam às demais publicadas no Guia prático da EFD ICMS </w:t>
      </w:r>
      <w:r>
        <w:rPr>
          <w:spacing w:val="-4"/>
        </w:rPr>
        <w:t>IPI.</w:t>
      </w:r>
    </w:p>
    <w:p>
      <w:pPr>
        <w:pStyle w:val="BodyText"/>
        <w:rPr>
          <w:sz w:val="22"/>
        </w:rPr>
      </w:pPr>
    </w:p>
    <w:p>
      <w:pPr>
        <w:pStyle w:val="Heading1"/>
        <w:spacing w:before="142"/>
      </w:pPr>
      <w:r>
        <w:rPr/>
        <w:t>1 -</w:t>
      </w:r>
      <w:r>
        <w:rPr>
          <w:spacing w:val="-1"/>
        </w:rPr>
        <w:t> </w:t>
      </w:r>
      <w:r>
        <w:rPr>
          <w:spacing w:val="-2"/>
        </w:rPr>
        <w:t>Registros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113" w:right="0" w:firstLine="0"/>
        <w:jc w:val="left"/>
        <w:rPr>
          <w:b/>
          <w:sz w:val="24"/>
        </w:rPr>
      </w:pPr>
      <w:bookmarkStart w:name="REGISTRO 0200: TABELA DE IDENTIFICAÇÃO D" w:id="1"/>
      <w:bookmarkEnd w:id="1"/>
      <w:r>
        <w:rPr/>
      </w:r>
      <w:r>
        <w:rPr>
          <w:b/>
          <w:sz w:val="24"/>
        </w:rPr>
        <w:t>REGISTRO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0200: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TABELA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IDENTIFICAÇÃO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(PRODUTO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SERVIÇOS)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3" w:right="119"/>
        <w:jc w:val="both"/>
      </w:pPr>
      <w:r>
        <w:rPr>
          <w:b/>
        </w:rPr>
        <w:t>Campo 12 </w:t>
      </w:r>
      <w:r>
        <w:rPr/>
        <w:t>(ALIQ_ICMS) </w:t>
      </w:r>
      <w:r>
        <w:rPr>
          <w:b/>
        </w:rPr>
        <w:t>- Preenchimento: </w:t>
      </w:r>
      <w:r>
        <w:rPr/>
        <w:t>Quando houver tributação monofásica, utilizar a alíquota do produto (óleo diesel ou GLP) e não a alíquota do biocombustível a ser adicionado para a composição da mistura vendida a consumidor final. Se não houver precisão suficiente no campo, o valor deve ser informado desprezando as casas decimais sem </w:t>
      </w:r>
      <w:r>
        <w:rPr>
          <w:spacing w:val="-2"/>
        </w:rPr>
        <w:t>arredondamento.</w:t>
      </w:r>
    </w:p>
    <w:p>
      <w:pPr>
        <w:pStyle w:val="BodyText"/>
        <w:rPr>
          <w:sz w:val="22"/>
        </w:rPr>
      </w:pPr>
    </w:p>
    <w:p>
      <w:pPr>
        <w:pStyle w:val="Heading1"/>
        <w:spacing w:before="174"/>
      </w:pPr>
      <w:bookmarkStart w:name="REGISTRO C170: ITENS DO DOCUMENTO (CÓDIG" w:id="2"/>
      <w:bookmarkEnd w:id="2"/>
      <w:r>
        <w:rPr>
          <w:b w:val="0"/>
        </w:rPr>
      </w:r>
      <w:r>
        <w:rPr/>
        <w:t>REGISTRO</w:t>
      </w:r>
      <w:r>
        <w:rPr>
          <w:spacing w:val="-1"/>
        </w:rPr>
        <w:t> </w:t>
      </w:r>
      <w:r>
        <w:rPr/>
        <w:t>C170:</w:t>
      </w:r>
      <w:r>
        <w:rPr>
          <w:spacing w:val="-3"/>
        </w:rPr>
        <w:t> </w:t>
      </w:r>
      <w:r>
        <w:rPr/>
        <w:t>ITENS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(CÓDIGO</w:t>
      </w:r>
      <w:r>
        <w:rPr>
          <w:spacing w:val="-1"/>
        </w:rPr>
        <w:t> </w:t>
      </w:r>
      <w:r>
        <w:rPr/>
        <w:t>01,</w:t>
      </w:r>
      <w:r>
        <w:rPr>
          <w:spacing w:val="-1"/>
        </w:rPr>
        <w:t> </w:t>
      </w:r>
      <w:r>
        <w:rPr/>
        <w:t>1B,</w:t>
      </w:r>
      <w:r>
        <w:rPr>
          <w:spacing w:val="-1"/>
        </w:rPr>
        <w:t> </w:t>
      </w:r>
      <w:r>
        <w:rPr/>
        <w:t>04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4"/>
        </w:rPr>
        <w:t>55).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288" w:lineRule="auto"/>
        <w:ind w:left="113" w:right="118"/>
        <w:jc w:val="both"/>
      </w:pPr>
      <w:r>
        <w:rPr/>
        <w:t>As instruções a seguir se aplicam para as devoluções de operações com ICMS monofásico e para as situações em que a legislação da UF permita o crédito do ICMS monofásico nas entradas utilizando o Registro C170 em documentos de emissão de terceiros.</w:t>
      </w:r>
    </w:p>
    <w:p>
      <w:pPr>
        <w:pStyle w:val="BodyText"/>
        <w:rPr>
          <w:sz w:val="24"/>
        </w:rPr>
      </w:pPr>
    </w:p>
    <w:p>
      <w:pPr>
        <w:pStyle w:val="BodyText"/>
        <w:ind w:left="113" w:right="118"/>
        <w:jc w:val="both"/>
      </w:pPr>
      <w:r>
        <w:rPr>
          <w:b/>
        </w:rPr>
        <w:t>Campo 13 </w:t>
      </w:r>
      <w:r>
        <w:rPr/>
        <w:t>(VL_BC_ICMS) - </w:t>
      </w:r>
      <w:r>
        <w:rPr>
          <w:b/>
        </w:rPr>
        <w:t>Validação: </w:t>
      </w:r>
      <w:r>
        <w:rPr/>
        <w:t>Se o campo IND_OPER do registro C100 for igual a “0” (zero) e se os dois últimos caracteres do CST_ICMS forem 02, 15, 53 ou 61, o campo VL_BC_ICMS deve ser igual a “0” (zero).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3" w:right="0" w:firstLine="0"/>
        <w:jc w:val="left"/>
        <w:rPr>
          <w:sz w:val="20"/>
        </w:rPr>
      </w:pPr>
      <w:r>
        <w:rPr>
          <w:b/>
          <w:sz w:val="20"/>
        </w:rPr>
        <w:t>Campo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14</w:t>
      </w:r>
      <w:r>
        <w:rPr>
          <w:b/>
          <w:spacing w:val="-3"/>
          <w:sz w:val="20"/>
        </w:rPr>
        <w:t> </w:t>
      </w:r>
      <w:r>
        <w:rPr>
          <w:sz w:val="20"/>
        </w:rPr>
        <w:t>(ALIQ_ICMS)</w:t>
      </w:r>
      <w:r>
        <w:rPr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Validação:</w:t>
      </w:r>
      <w:r>
        <w:rPr>
          <w:b/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campo</w:t>
      </w:r>
      <w:r>
        <w:rPr>
          <w:spacing w:val="-6"/>
          <w:sz w:val="20"/>
        </w:rPr>
        <w:t> </w:t>
      </w:r>
      <w:r>
        <w:rPr>
          <w:sz w:val="20"/>
        </w:rPr>
        <w:t>IND_OPER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registro</w:t>
      </w:r>
      <w:r>
        <w:rPr>
          <w:spacing w:val="-5"/>
          <w:sz w:val="20"/>
        </w:rPr>
        <w:t> </w:t>
      </w:r>
      <w:r>
        <w:rPr>
          <w:sz w:val="20"/>
        </w:rPr>
        <w:t>C100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igual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“0”</w:t>
      </w:r>
      <w:r>
        <w:rPr>
          <w:spacing w:val="-5"/>
          <w:sz w:val="20"/>
        </w:rPr>
        <w:t> </w:t>
      </w:r>
      <w:r>
        <w:rPr>
          <w:sz w:val="20"/>
        </w:rPr>
        <w:t>(zero)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e: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71" w:val="left" w:leader="none"/>
        </w:tabs>
        <w:spacing w:line="240" w:lineRule="auto" w:before="0" w:after="0"/>
        <w:ind w:left="833" w:right="122" w:hanging="360"/>
        <w:jc w:val="left"/>
        <w:rPr>
          <w:sz w:val="20"/>
        </w:rPr>
      </w:pPr>
      <w:r>
        <w:rPr>
          <w:sz w:val="20"/>
        </w:rPr>
        <w:tab/>
        <w:t>se</w:t>
      </w:r>
      <w:r>
        <w:rPr>
          <w:spacing w:val="20"/>
          <w:sz w:val="20"/>
        </w:rPr>
        <w:t> </w:t>
      </w:r>
      <w:r>
        <w:rPr>
          <w:sz w:val="20"/>
        </w:rPr>
        <w:t>os</w:t>
      </w:r>
      <w:r>
        <w:rPr>
          <w:spacing w:val="19"/>
          <w:sz w:val="20"/>
        </w:rPr>
        <w:t> </w:t>
      </w:r>
      <w:r>
        <w:rPr>
          <w:sz w:val="20"/>
        </w:rPr>
        <w:t>dois</w:t>
      </w:r>
      <w:r>
        <w:rPr>
          <w:spacing w:val="18"/>
          <w:sz w:val="20"/>
        </w:rPr>
        <w:t> </w:t>
      </w:r>
      <w:r>
        <w:rPr>
          <w:sz w:val="20"/>
        </w:rPr>
        <w:t>últimos</w:t>
      </w:r>
      <w:r>
        <w:rPr>
          <w:spacing w:val="19"/>
          <w:sz w:val="20"/>
        </w:rPr>
        <w:t> </w:t>
      </w:r>
      <w:r>
        <w:rPr>
          <w:sz w:val="20"/>
        </w:rPr>
        <w:t>caracteres</w:t>
      </w:r>
      <w:r>
        <w:rPr>
          <w:spacing w:val="21"/>
          <w:sz w:val="20"/>
        </w:rPr>
        <w:t> </w:t>
      </w:r>
      <w:r>
        <w:rPr>
          <w:sz w:val="20"/>
        </w:rPr>
        <w:t>do</w:t>
      </w:r>
      <w:r>
        <w:rPr>
          <w:spacing w:val="20"/>
          <w:sz w:val="20"/>
        </w:rPr>
        <w:t> </w:t>
      </w:r>
      <w:r>
        <w:rPr>
          <w:sz w:val="20"/>
        </w:rPr>
        <w:t>CST_ICMS</w:t>
      </w:r>
      <w:r>
        <w:rPr>
          <w:spacing w:val="19"/>
          <w:sz w:val="20"/>
        </w:rPr>
        <w:t> </w:t>
      </w:r>
      <w:r>
        <w:rPr>
          <w:sz w:val="20"/>
        </w:rPr>
        <w:t>forem</w:t>
      </w:r>
      <w:r>
        <w:rPr>
          <w:spacing w:val="20"/>
          <w:sz w:val="20"/>
        </w:rPr>
        <w:t> </w:t>
      </w:r>
      <w:r>
        <w:rPr>
          <w:sz w:val="20"/>
        </w:rPr>
        <w:t>02</w:t>
      </w:r>
      <w:r>
        <w:rPr>
          <w:spacing w:val="21"/>
          <w:sz w:val="20"/>
        </w:rPr>
        <w:t> </w:t>
      </w:r>
      <w:r>
        <w:rPr>
          <w:sz w:val="20"/>
        </w:rPr>
        <w:t>ou</w:t>
      </w:r>
      <w:r>
        <w:rPr>
          <w:spacing w:val="18"/>
          <w:sz w:val="20"/>
        </w:rPr>
        <w:t> </w:t>
      </w:r>
      <w:r>
        <w:rPr>
          <w:sz w:val="20"/>
        </w:rPr>
        <w:t>15,</w:t>
      </w:r>
      <w:r>
        <w:rPr>
          <w:spacing w:val="20"/>
          <w:sz w:val="20"/>
        </w:rPr>
        <w:t> </w:t>
      </w:r>
      <w:r>
        <w:rPr>
          <w:sz w:val="20"/>
        </w:rPr>
        <w:t>o</w:t>
      </w:r>
      <w:r>
        <w:rPr>
          <w:spacing w:val="20"/>
          <w:sz w:val="20"/>
        </w:rPr>
        <w:t> </w:t>
      </w:r>
      <w:r>
        <w:rPr>
          <w:sz w:val="20"/>
        </w:rPr>
        <w:t>campo ALIQ_ICMS</w:t>
      </w:r>
      <w:r>
        <w:rPr>
          <w:spacing w:val="19"/>
          <w:sz w:val="20"/>
        </w:rPr>
        <w:t> </w:t>
      </w:r>
      <w:r>
        <w:rPr>
          <w:sz w:val="20"/>
        </w:rPr>
        <w:t>deve</w:t>
      </w:r>
      <w:r>
        <w:rPr>
          <w:spacing w:val="20"/>
          <w:sz w:val="20"/>
        </w:rPr>
        <w:t> </w:t>
      </w:r>
      <w:r>
        <w:rPr>
          <w:sz w:val="20"/>
        </w:rPr>
        <w:t>ser</w:t>
      </w:r>
      <w:r>
        <w:rPr>
          <w:spacing w:val="20"/>
          <w:sz w:val="20"/>
        </w:rPr>
        <w:t> </w:t>
      </w:r>
      <w:r>
        <w:rPr>
          <w:sz w:val="20"/>
        </w:rPr>
        <w:t>maior</w:t>
      </w:r>
      <w:r>
        <w:rPr>
          <w:spacing w:val="20"/>
          <w:sz w:val="20"/>
        </w:rPr>
        <w:t> </w:t>
      </w:r>
      <w:r>
        <w:rPr>
          <w:sz w:val="20"/>
        </w:rPr>
        <w:t>que</w:t>
      </w:r>
      <w:r>
        <w:rPr>
          <w:spacing w:val="20"/>
          <w:sz w:val="20"/>
        </w:rPr>
        <w:t> </w:t>
      </w:r>
      <w:r>
        <w:rPr>
          <w:sz w:val="20"/>
        </w:rPr>
        <w:t>“0” </w:t>
      </w:r>
      <w:r>
        <w:rPr>
          <w:spacing w:val="-2"/>
          <w:sz w:val="20"/>
        </w:rPr>
        <w:t>(zero).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33" w:val="left" w:leader="none"/>
        </w:tabs>
        <w:spacing w:line="240" w:lineRule="auto" w:before="1" w:after="0"/>
        <w:ind w:left="833" w:right="118" w:hanging="360"/>
        <w:jc w:val="left"/>
        <w:rPr>
          <w:sz w:val="20"/>
        </w:rPr>
      </w:pPr>
      <w:r>
        <w:rPr>
          <w:sz w:val="20"/>
        </w:rPr>
        <w:t>se os dois últimos caracteres do CST_ICMS forem 53, o campo ALIQ_ICMS poderá ser maior ou igual a “0”</w:t>
      </w:r>
      <w:r>
        <w:rPr>
          <w:spacing w:val="80"/>
          <w:sz w:val="20"/>
        </w:rPr>
        <w:t> </w:t>
      </w:r>
      <w:r>
        <w:rPr>
          <w:spacing w:val="-2"/>
          <w:sz w:val="20"/>
        </w:rPr>
        <w:t>(zero).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28" w:lineRule="exact" w:before="0" w:after="0"/>
        <w:ind w:left="819" w:right="0" w:hanging="346"/>
        <w:jc w:val="left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dois</w:t>
      </w:r>
      <w:r>
        <w:rPr>
          <w:spacing w:val="-5"/>
          <w:sz w:val="20"/>
        </w:rPr>
        <w:t> </w:t>
      </w:r>
      <w:r>
        <w:rPr>
          <w:sz w:val="20"/>
        </w:rPr>
        <w:t>últimos</w:t>
      </w:r>
      <w:r>
        <w:rPr>
          <w:spacing w:val="-4"/>
          <w:sz w:val="20"/>
        </w:rPr>
        <w:t> </w:t>
      </w:r>
      <w:r>
        <w:rPr>
          <w:sz w:val="20"/>
        </w:rPr>
        <w:t>caracteres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CST_ICMS</w:t>
      </w:r>
      <w:r>
        <w:rPr>
          <w:spacing w:val="-4"/>
          <w:sz w:val="20"/>
        </w:rPr>
        <w:t> </w:t>
      </w:r>
      <w:r>
        <w:rPr>
          <w:sz w:val="20"/>
        </w:rPr>
        <w:t>forem</w:t>
      </w:r>
      <w:r>
        <w:rPr>
          <w:spacing w:val="-2"/>
          <w:sz w:val="20"/>
        </w:rPr>
        <w:t> </w:t>
      </w:r>
      <w:r>
        <w:rPr>
          <w:sz w:val="20"/>
        </w:rPr>
        <w:t>61,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campo</w:t>
      </w:r>
      <w:r>
        <w:rPr>
          <w:spacing w:val="-12"/>
          <w:sz w:val="20"/>
        </w:rPr>
        <w:t> </w:t>
      </w:r>
      <w:r>
        <w:rPr>
          <w:sz w:val="20"/>
        </w:rPr>
        <w:t>ALIQ_ICMS</w:t>
      </w:r>
      <w:r>
        <w:rPr>
          <w:spacing w:val="-1"/>
          <w:sz w:val="20"/>
        </w:rPr>
        <w:t> </w:t>
      </w:r>
      <w:r>
        <w:rPr>
          <w:sz w:val="20"/>
        </w:rPr>
        <w:t>deverá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igual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“0”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(zero).</w:t>
      </w:r>
    </w:p>
    <w:p>
      <w:pPr>
        <w:pStyle w:val="BodyText"/>
        <w:spacing w:before="1"/>
      </w:pPr>
    </w:p>
    <w:p>
      <w:pPr>
        <w:pStyle w:val="BodyText"/>
        <w:ind w:left="113" w:right="117"/>
        <w:jc w:val="both"/>
      </w:pPr>
      <w:r>
        <w:rPr>
          <w:b/>
        </w:rPr>
        <w:t>Preenchimento: </w:t>
      </w:r>
      <w:r>
        <w:rPr/>
        <w:t>Deve ser preenchido com o valor da tag adRemICMS (Alíquota ad rem do imposto) da NFe nos itens com CST 02, 15 ou 53 se estiver preenchida. Se não houver precisão suficiente no campo, o valor deve ser informado desprezando as casas decimais sem arredondamento.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3"/>
      </w:pPr>
      <w:r>
        <w:rPr>
          <w:b/>
        </w:rPr>
        <w:t>Campo</w:t>
      </w:r>
      <w:r>
        <w:rPr>
          <w:b/>
          <w:spacing w:val="17"/>
        </w:rPr>
        <w:t> </w:t>
      </w:r>
      <w:r>
        <w:rPr>
          <w:b/>
        </w:rPr>
        <w:t>16</w:t>
      </w:r>
      <w:r>
        <w:rPr>
          <w:b/>
          <w:spacing w:val="15"/>
        </w:rPr>
        <w:t> </w:t>
      </w:r>
      <w:r>
        <w:rPr/>
        <w:t>(VL_BC_ICMS_ST)</w:t>
      </w:r>
      <w:r>
        <w:rPr>
          <w:spacing w:val="17"/>
        </w:rPr>
        <w:t> </w:t>
      </w:r>
      <w:r>
        <w:rPr/>
        <w:t>-</w:t>
      </w:r>
      <w:r>
        <w:rPr>
          <w:spacing w:val="15"/>
        </w:rPr>
        <w:t> </w:t>
      </w:r>
      <w:r>
        <w:rPr>
          <w:b/>
        </w:rPr>
        <w:t>Validação:</w:t>
      </w:r>
      <w:r>
        <w:rPr>
          <w:b/>
          <w:spacing w:val="18"/>
        </w:rPr>
        <w:t> </w:t>
      </w:r>
      <w:r>
        <w:rPr/>
        <w:t>Se o</w:t>
      </w:r>
      <w:r>
        <w:rPr>
          <w:spacing w:val="17"/>
        </w:rPr>
        <w:t> </w:t>
      </w:r>
      <w:r>
        <w:rPr/>
        <w:t>campo</w:t>
      </w:r>
      <w:r>
        <w:rPr>
          <w:spacing w:val="15"/>
        </w:rPr>
        <w:t> </w:t>
      </w:r>
      <w:r>
        <w:rPr/>
        <w:t>IND_OPER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registro</w:t>
      </w:r>
      <w:r>
        <w:rPr>
          <w:spacing w:val="17"/>
        </w:rPr>
        <w:t> </w:t>
      </w:r>
      <w:r>
        <w:rPr/>
        <w:t>C100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igual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“0” (zero)</w:t>
      </w:r>
      <w:r>
        <w:rPr>
          <w:spacing w:val="22"/>
        </w:rPr>
        <w:t> </w:t>
      </w:r>
      <w:r>
        <w:rPr/>
        <w:t>e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os dois últimos caracteres do CST_ICMS forem 02, 15, 53 ou 61, o campo VL_BC_ICMS_ST deve ser igual a “0” (zero).</w:t>
      </w:r>
    </w:p>
    <w:p>
      <w:pPr>
        <w:pStyle w:val="BodyText"/>
        <w:spacing w:before="1"/>
      </w:pPr>
    </w:p>
    <w:p>
      <w:pPr>
        <w:pStyle w:val="BodyText"/>
        <w:ind w:left="113" w:right="119"/>
        <w:jc w:val="both"/>
      </w:pPr>
      <w:r>
        <w:rPr>
          <w:b/>
        </w:rPr>
        <w:t>Campo 17 </w:t>
      </w:r>
      <w:r>
        <w:rPr/>
        <w:t>(ALIQ_ST) - </w:t>
      </w:r>
      <w:r>
        <w:rPr>
          <w:b/>
        </w:rPr>
        <w:t>Validação: </w:t>
      </w:r>
      <w:r>
        <w:rPr/>
        <w:t>Se</w:t>
      </w:r>
      <w:r>
        <w:rPr>
          <w:spacing w:val="-1"/>
        </w:rPr>
        <w:t> </w:t>
      </w:r>
      <w:r>
        <w:rPr/>
        <w:t>o campo IND_OPER</w:t>
      </w:r>
      <w:r>
        <w:rPr>
          <w:spacing w:val="-1"/>
        </w:rPr>
        <w:t> </w:t>
      </w:r>
      <w:r>
        <w:rPr/>
        <w:t>do registro C100 for igual a “0” (zero) e se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últimos caracteres do CST_ICMS forem 02 ou 61, o campo ALIQ_ST deve ser igual a “0” (zero). Se os dois últimos caracteres</w:t>
      </w:r>
      <w:r>
        <w:rPr>
          <w:spacing w:val="40"/>
        </w:rPr>
        <w:t> </w:t>
      </w:r>
      <w:r>
        <w:rPr/>
        <w:t>do CST_ICMS forem 15,</w:t>
      </w:r>
      <w:r>
        <w:rPr>
          <w:spacing w:val="-2"/>
        </w:rPr>
        <w:t> </w:t>
      </w:r>
      <w:r>
        <w:rPr/>
        <w:t>o campo</w:t>
      </w:r>
      <w:r>
        <w:rPr>
          <w:spacing w:val="-9"/>
        </w:rPr>
        <w:t> </w:t>
      </w:r>
      <w:r>
        <w:rPr/>
        <w:t>ALIQ_ST</w:t>
      </w:r>
      <w:r>
        <w:rPr>
          <w:spacing w:val="-3"/>
        </w:rPr>
        <w:t> </w:t>
      </w:r>
      <w:r>
        <w:rPr/>
        <w:t>deve ser maior</w:t>
      </w:r>
      <w:r>
        <w:rPr>
          <w:spacing w:val="-1"/>
        </w:rPr>
        <w:t> </w:t>
      </w:r>
      <w:r>
        <w:rPr/>
        <w:t>que “0” (zero).</w:t>
      </w:r>
      <w:r>
        <w:rPr>
          <w:spacing w:val="-1"/>
        </w:rPr>
        <w:t> </w:t>
      </w:r>
      <w:r>
        <w:rPr/>
        <w:t>Se os dois últimos caracteres do CST_ICMS forem 53, o campo ALIQ_ST deve ser maior ou igual a “0” (zero).</w:t>
      </w:r>
    </w:p>
    <w:p>
      <w:pPr>
        <w:pStyle w:val="BodyText"/>
        <w:ind w:left="113" w:right="116"/>
        <w:jc w:val="both"/>
      </w:pPr>
      <w:r>
        <w:rPr>
          <w:b/>
        </w:rPr>
        <w:t>Preenchimento: </w:t>
      </w:r>
      <w:r>
        <w:rPr/>
        <w:t>Deve</w:t>
      </w:r>
      <w:r>
        <w:rPr>
          <w:spacing w:val="-1"/>
        </w:rPr>
        <w:t> </w:t>
      </w:r>
      <w:r>
        <w:rPr/>
        <w:t>ser preenchido com o valor da</w:t>
      </w:r>
      <w:r>
        <w:rPr>
          <w:spacing w:val="-1"/>
        </w:rPr>
        <w:t> </w:t>
      </w:r>
      <w:r>
        <w:rPr/>
        <w:t>tag adRemICMSReten (Alíquota</w:t>
      </w:r>
      <w:r>
        <w:rPr>
          <w:spacing w:val="-1"/>
        </w:rPr>
        <w:t> </w:t>
      </w:r>
      <w:r>
        <w:rPr/>
        <w:t>ad rem do imposto com retenção) da NFe. Se não houver precisão suficiente no campo, o valor deve ser informado desprezando as casas decimais sem </w:t>
      </w:r>
      <w:r>
        <w:rPr>
          <w:spacing w:val="-2"/>
        </w:rPr>
        <w:t>arredondamento.</w:t>
      </w:r>
    </w:p>
    <w:p>
      <w:pPr>
        <w:spacing w:after="0"/>
        <w:jc w:val="both"/>
        <w:sectPr>
          <w:pgSz w:w="11910" w:h="16840"/>
          <w:pgMar w:header="1142" w:footer="1006" w:top="1860" w:bottom="1200" w:left="1020" w:right="900"/>
        </w:sectPr>
      </w:pPr>
    </w:p>
    <w:p>
      <w:pPr>
        <w:pStyle w:val="BodyText"/>
        <w:spacing w:before="9"/>
      </w:pPr>
    </w:p>
    <w:p>
      <w:pPr>
        <w:pStyle w:val="Heading1"/>
        <w:spacing w:before="90"/>
        <w:ind w:right="119"/>
        <w:jc w:val="both"/>
      </w:pPr>
      <w:r>
        <w:rPr/>
        <w:t>REGISTRO C190: REGISTRO ANALÍTICO DO DOCUMENTO (CÓDIGO 01, 1B, 04, 55 e </w:t>
      </w:r>
      <w:r>
        <w:rPr>
          <w:spacing w:val="-4"/>
        </w:rPr>
        <w:t>65)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3" w:right="117"/>
        <w:jc w:val="both"/>
      </w:pPr>
      <w:r>
        <w:rPr>
          <w:b/>
        </w:rPr>
        <w:t>Campo 04 </w:t>
      </w:r>
      <w:r>
        <w:rPr/>
        <w:t>(ALIQ_ICMS) </w:t>
      </w:r>
      <w:r>
        <w:rPr>
          <w:b/>
        </w:rPr>
        <w:t>- Preenchimento: </w:t>
      </w:r>
      <w:r>
        <w:rPr/>
        <w:t>Para as operações de saída, nos itens da NFe com CST 02 , 15 ou 53, o valor deste campo deve</w:t>
      </w:r>
      <w:r>
        <w:rPr>
          <w:spacing w:val="-1"/>
        </w:rPr>
        <w:t> </w:t>
      </w:r>
      <w:r>
        <w:rPr/>
        <w:t>corresponder ao valor da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adRemICMS (Alíquota</w:t>
      </w:r>
      <w:r>
        <w:rPr>
          <w:spacing w:val="-1"/>
        </w:rPr>
        <w:t> </w:t>
      </w:r>
      <w:r>
        <w:rPr/>
        <w:t>ad rem do imposto). Se</w:t>
      </w:r>
      <w:r>
        <w:rPr>
          <w:spacing w:val="-1"/>
        </w:rPr>
        <w:t> </w:t>
      </w:r>
      <w:r>
        <w:rPr/>
        <w:t>não</w:t>
      </w:r>
      <w:r>
        <w:rPr>
          <w:spacing w:val="-2"/>
        </w:rPr>
        <w:t> </w:t>
      </w:r>
      <w:r>
        <w:rPr/>
        <w:t>houver precisão suficiente no campo, o valor deve ser informado desprezando as casas decimais sem arredondamento.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13"/>
        <w:jc w:val="both"/>
      </w:pPr>
      <w:r>
        <w:rPr>
          <w:b/>
        </w:rPr>
        <w:t>Campo</w:t>
      </w:r>
      <w:r>
        <w:rPr>
          <w:b/>
          <w:spacing w:val="-5"/>
        </w:rPr>
        <w:t> </w:t>
      </w:r>
      <w:r>
        <w:rPr>
          <w:b/>
        </w:rPr>
        <w:t>06</w:t>
      </w:r>
      <w:r>
        <w:rPr>
          <w:b/>
          <w:spacing w:val="-2"/>
        </w:rPr>
        <w:t> </w:t>
      </w:r>
      <w:r>
        <w:rPr/>
        <w:t>(VL_BC_ICMS)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b/>
        </w:rPr>
        <w:t>Validação:</w:t>
      </w:r>
      <w:r>
        <w:rPr>
          <w:b/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operações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CST</w:t>
      </w:r>
      <w:r>
        <w:rPr>
          <w:spacing w:val="-9"/>
        </w:rPr>
        <w:t> </w:t>
      </w:r>
      <w:r>
        <w:rPr/>
        <w:t>02,</w:t>
      </w:r>
      <w:r>
        <w:rPr>
          <w:spacing w:val="-4"/>
        </w:rPr>
        <w:t> </w:t>
      </w:r>
      <w:r>
        <w:rPr/>
        <w:t>15,</w:t>
      </w:r>
      <w:r>
        <w:rPr>
          <w:spacing w:val="-6"/>
        </w:rPr>
        <w:t> </w:t>
      </w:r>
      <w:r>
        <w:rPr/>
        <w:t>53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61,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deve</w:t>
      </w:r>
      <w:r>
        <w:rPr>
          <w:spacing w:val="2"/>
        </w:rPr>
        <w:t> </w:t>
      </w:r>
      <w:r>
        <w:rPr/>
        <w:t>ser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>
          <w:spacing w:val="-2"/>
        </w:rPr>
        <w:t>(zero).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3" w:right="119"/>
        <w:jc w:val="both"/>
      </w:pPr>
      <w:r>
        <w:rPr>
          <w:b/>
        </w:rPr>
        <w:t>Campo 07 </w:t>
      </w:r>
      <w:r>
        <w:rPr/>
        <w:t>(VL_ICMS) – </w:t>
      </w:r>
      <w:r>
        <w:rPr>
          <w:b/>
        </w:rPr>
        <w:t>Preenchimento: </w:t>
      </w:r>
      <w:r>
        <w:rPr/>
        <w:t>Nas operações com B100 e CST 53, o valor da tag vICMSMono (Valor do ICMS próprio) deve ser lançado nesse campo.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3" w:right="0" w:firstLine="0"/>
        <w:jc w:val="both"/>
        <w:rPr>
          <w:sz w:val="20"/>
        </w:rPr>
      </w:pPr>
      <w:r>
        <w:rPr>
          <w:b/>
          <w:sz w:val="20"/>
        </w:rPr>
        <w:t>Campo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08</w:t>
      </w:r>
      <w:r>
        <w:rPr>
          <w:b/>
          <w:spacing w:val="-3"/>
          <w:sz w:val="20"/>
        </w:rPr>
        <w:t> </w:t>
      </w:r>
      <w:r>
        <w:rPr>
          <w:sz w:val="20"/>
        </w:rPr>
        <w:t>(VL_BC_ICMS_ST)</w:t>
      </w:r>
      <w:r>
        <w:rPr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Validação:</w:t>
      </w:r>
      <w:r>
        <w:rPr>
          <w:b/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operações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CST</w:t>
      </w:r>
      <w:r>
        <w:rPr>
          <w:spacing w:val="-9"/>
          <w:sz w:val="20"/>
        </w:rPr>
        <w:t> </w:t>
      </w:r>
      <w:r>
        <w:rPr>
          <w:sz w:val="20"/>
        </w:rPr>
        <w:t>02,</w:t>
      </w:r>
      <w:r>
        <w:rPr>
          <w:spacing w:val="-5"/>
          <w:sz w:val="20"/>
        </w:rPr>
        <w:t> </w:t>
      </w:r>
      <w:r>
        <w:rPr>
          <w:sz w:val="20"/>
        </w:rPr>
        <w:t>15,</w:t>
      </w:r>
      <w:r>
        <w:rPr>
          <w:spacing w:val="-6"/>
          <w:sz w:val="20"/>
        </w:rPr>
        <w:t> </w:t>
      </w:r>
      <w:r>
        <w:rPr>
          <w:sz w:val="20"/>
        </w:rPr>
        <w:t>53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61,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valor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2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(zero).</w:t>
      </w:r>
    </w:p>
    <w:p>
      <w:pPr>
        <w:pStyle w:val="BodyText"/>
        <w:rPr>
          <w:sz w:val="28"/>
        </w:rPr>
      </w:pPr>
    </w:p>
    <w:p>
      <w:pPr>
        <w:pStyle w:val="BodyText"/>
        <w:ind w:left="113" w:right="127"/>
        <w:jc w:val="both"/>
      </w:pPr>
      <w:r>
        <w:rPr>
          <w:b/>
        </w:rPr>
        <w:t>Campo 09 </w:t>
      </w:r>
      <w:r>
        <w:rPr/>
        <w:t>(VL_ICMS_ST) </w:t>
      </w:r>
      <w:r>
        <w:rPr>
          <w:b/>
        </w:rPr>
        <w:t>- Preenchimento: </w:t>
      </w:r>
      <w:r>
        <w:rPr/>
        <w:t>informar o valor creditado/debitado do ICMS da substituição tributária, referente à combinação dos campos CST_ICMS, CFOP, e</w:t>
      </w:r>
      <w:r>
        <w:rPr>
          <w:spacing w:val="-3"/>
        </w:rPr>
        <w:t> </w:t>
      </w:r>
      <w:r>
        <w:rPr/>
        <w:t>ALIQ_ICMS deste registro.</w:t>
      </w:r>
    </w:p>
    <w:p>
      <w:pPr>
        <w:pStyle w:val="BodyText"/>
        <w:spacing w:before="1"/>
        <w:ind w:left="113" w:right="117"/>
        <w:jc w:val="both"/>
      </w:pP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2.023,</w:t>
      </w:r>
      <w:r>
        <w:rPr>
          <w:spacing w:val="-1"/>
        </w:rPr>
        <w:t> </w:t>
      </w:r>
      <w:r>
        <w:rPr/>
        <w:t>este campo</w:t>
      </w:r>
      <w:r>
        <w:rPr>
          <w:spacing w:val="-2"/>
        </w:rPr>
        <w:t> </w:t>
      </w:r>
      <w:r>
        <w:rPr/>
        <w:t>deve</w:t>
      </w:r>
      <w:r>
        <w:rPr>
          <w:spacing w:val="-1"/>
        </w:rPr>
        <w:t> </w:t>
      </w:r>
      <w:r>
        <w:rPr/>
        <w:t>ser utilizado para</w:t>
      </w:r>
      <w:r>
        <w:rPr>
          <w:spacing w:val="-1"/>
        </w:rPr>
        <w:t> </w:t>
      </w:r>
      <w:r>
        <w:rPr/>
        <w:t>lançar</w:t>
      </w:r>
      <w:r>
        <w:rPr>
          <w:spacing w:val="-3"/>
        </w:rPr>
        <w:t> </w:t>
      </w:r>
      <w:r>
        <w:rPr/>
        <w:t>o ICMS</w:t>
      </w:r>
      <w:r>
        <w:rPr>
          <w:spacing w:val="-1"/>
        </w:rPr>
        <w:t> </w:t>
      </w:r>
      <w:r>
        <w:rPr/>
        <w:t>monofásico a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itens</w:t>
      </w:r>
      <w:r>
        <w:rPr>
          <w:spacing w:val="-2"/>
        </w:rPr>
        <w:t> </w:t>
      </w:r>
      <w:r>
        <w:rPr/>
        <w:t>da NFe</w:t>
      </w:r>
      <w:r>
        <w:rPr>
          <w:spacing w:val="-1"/>
        </w:rPr>
        <w:t> </w:t>
      </w:r>
      <w:r>
        <w:rPr/>
        <w:t>com CST</w:t>
      </w:r>
      <w:r>
        <w:rPr>
          <w:spacing w:val="-6"/>
        </w:rPr>
        <w:t> </w:t>
      </w:r>
      <w:r>
        <w:rPr/>
        <w:t>02 ou 15 com a soma dos valores das tags vICMSMono (Valor do ICMS próprio) e ICMSMonoReten (Valor do ICMS com retenção). Nas operações com B100 e CST</w:t>
      </w:r>
      <w:r>
        <w:rPr>
          <w:spacing w:val="-3"/>
        </w:rPr>
        <w:t> </w:t>
      </w:r>
      <w:r>
        <w:rPr/>
        <w:t>53, o valor da tag vICMSMono (Valor do ICMS próprio) deve</w:t>
      </w:r>
      <w:r>
        <w:rPr>
          <w:spacing w:val="-1"/>
        </w:rPr>
        <w:t> </w:t>
      </w:r>
      <w:r>
        <w:rPr/>
        <w:t>ser lançado</w:t>
      </w:r>
      <w:r>
        <w:rPr>
          <w:spacing w:val="-2"/>
        </w:rPr>
        <w:t> </w:t>
      </w:r>
      <w:r>
        <w:rPr/>
        <w:t>no campo 07 (VL_ICMS).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3"/>
        <w:jc w:val="both"/>
      </w:pPr>
      <w:r>
        <w:rPr/>
        <w:t>As</w:t>
      </w:r>
      <w:r>
        <w:rPr>
          <w:spacing w:val="-6"/>
        </w:rPr>
        <w:t> </w:t>
      </w:r>
      <w:r>
        <w:rPr/>
        <w:t>seguintes</w:t>
      </w:r>
      <w:r>
        <w:rPr>
          <w:spacing w:val="-4"/>
        </w:rPr>
        <w:t> </w:t>
      </w:r>
      <w:r>
        <w:rPr/>
        <w:t>regras</w:t>
      </w:r>
      <w:r>
        <w:rPr>
          <w:spacing w:val="-4"/>
        </w:rPr>
        <w:t> </w:t>
      </w:r>
      <w:r>
        <w:rPr/>
        <w:t>serão</w:t>
      </w:r>
      <w:r>
        <w:rPr>
          <w:spacing w:val="-3"/>
        </w:rPr>
        <w:t> </w:t>
      </w:r>
      <w:r>
        <w:rPr/>
        <w:t>executadas</w:t>
      </w:r>
      <w:r>
        <w:rPr>
          <w:spacing w:val="-5"/>
        </w:rPr>
        <w:t> </w:t>
      </w:r>
      <w:r>
        <w:rPr/>
        <w:t>somente</w:t>
      </w:r>
      <w:r>
        <w:rPr>
          <w:spacing w:val="-5"/>
        </w:rPr>
        <w:t> </w:t>
      </w:r>
      <w:r>
        <w:rPr/>
        <w:t>nas</w:t>
      </w:r>
      <w:r>
        <w:rPr>
          <w:spacing w:val="-5"/>
        </w:rPr>
        <w:t> </w:t>
      </w:r>
      <w:r>
        <w:rPr/>
        <w:t>operações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saídas:</w:t>
      </w:r>
    </w:p>
    <w:p>
      <w:pPr>
        <w:pStyle w:val="BodyText"/>
        <w:rPr>
          <w:sz w:val="24"/>
        </w:rPr>
      </w:pPr>
    </w:p>
    <w:p>
      <w:pPr>
        <w:pStyle w:val="BodyText"/>
        <w:spacing w:line="229" w:lineRule="exact"/>
        <w:ind w:left="113"/>
        <w:jc w:val="both"/>
      </w:pPr>
      <w:r>
        <w:rPr>
          <w:u w:val="single"/>
        </w:rPr>
        <w:t>ICMS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Normal: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246" w:val="left" w:leader="none"/>
        </w:tabs>
        <w:spacing w:line="240" w:lineRule="auto" w:before="0" w:after="0"/>
        <w:ind w:left="1246" w:right="114" w:hanging="425"/>
        <w:jc w:val="both"/>
        <w:rPr>
          <w:sz w:val="20"/>
        </w:rPr>
      </w:pPr>
      <w:r>
        <w:rPr>
          <w:sz w:val="20"/>
        </w:rPr>
        <w:t>se os dois últimos dígitos do campo CST_ICMS forem iguais a 02 ou 15, então os valores dos campos VL_BC_ICMS e VL_ICMS deverão ser iguais a “0” (zero) e o valor do campo ALIQ_ICMS deverá ser maior que “0” (zero).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246" w:val="left" w:leader="none"/>
        </w:tabs>
        <w:spacing w:line="240" w:lineRule="auto" w:before="1" w:after="0"/>
        <w:ind w:left="1246" w:right="118" w:hanging="425"/>
        <w:jc w:val="both"/>
        <w:rPr>
          <w:sz w:val="20"/>
        </w:rPr>
      </w:pPr>
      <w:r>
        <w:rPr>
          <w:sz w:val="20"/>
        </w:rPr>
        <w:t>se os dois últimos dígitos do campo CST_ICMS forem iguais a 53, então o valor do campo VL_BC_ICMS deverá ser igual a “0” (zero), o valor do campo</w:t>
      </w:r>
      <w:r>
        <w:rPr>
          <w:spacing w:val="-3"/>
          <w:sz w:val="20"/>
        </w:rPr>
        <w:t> </w:t>
      </w:r>
      <w:r>
        <w:rPr>
          <w:sz w:val="20"/>
        </w:rPr>
        <w:t>ALIQ_ICMS deverá ser maior que “0” (zero) e o valor do campoVL_ICMS deverá ser maior ou igual a “0” (zero).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246" w:val="left" w:leader="none"/>
        </w:tabs>
        <w:spacing w:line="240" w:lineRule="auto" w:before="0" w:after="0"/>
        <w:ind w:left="1246" w:right="115" w:hanging="425"/>
        <w:jc w:val="both"/>
        <w:rPr>
          <w:sz w:val="20"/>
        </w:rPr>
      </w:pPr>
      <w:r>
        <w:rPr>
          <w:sz w:val="20"/>
        </w:rPr>
        <w:t>se os dois últimos dígitos do campo CST_ICMS forem iguais a 61, então os valores dos campos ALIQ_ICMS, VL_BC_ICMS e VL_ICMS deverão ser iguais a “0” (zero).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3"/>
        <w:jc w:val="both"/>
      </w:pPr>
      <w:r>
        <w:rPr>
          <w:u w:val="single"/>
        </w:rPr>
        <w:t>ICMS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ST: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240" w:lineRule="auto" w:before="0" w:after="0"/>
        <w:ind w:left="821" w:right="119" w:firstLine="0"/>
        <w:jc w:val="both"/>
        <w:rPr>
          <w:sz w:val="20"/>
        </w:rPr>
      </w:pPr>
      <w:r>
        <w:rPr>
          <w:sz w:val="20"/>
        </w:rPr>
        <w:t>se os dois últimos dígitos do campo CST_ICMS forem iguais a 02 ou 15, então o valor do campo VL_BC_ICMS_ST deverá ser igual a “0” (zero) e o valor do campo VL_ICMS_ST deverá ser maior ou igual a “0” (zero).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240" w:lineRule="auto" w:before="0" w:after="0"/>
        <w:ind w:left="821" w:right="117" w:firstLine="0"/>
        <w:jc w:val="both"/>
        <w:rPr>
          <w:sz w:val="20"/>
        </w:rPr>
      </w:pPr>
      <w:r>
        <w:rPr>
          <w:color w:val="000000"/>
          <w:sz w:val="20"/>
          <w:shd w:fill="FFFF00" w:color="auto" w:val="clear"/>
        </w:rPr>
        <w:t>se os dois últimos dígitos do campo CST_ICMS forem iguais a 53, então os valores dos campos</w:t>
      </w:r>
      <w:r>
        <w:rPr>
          <w:color w:val="000000"/>
          <w:sz w:val="20"/>
        </w:rPr>
        <w:t> </w:t>
      </w:r>
      <w:r>
        <w:rPr>
          <w:color w:val="000000"/>
          <w:sz w:val="20"/>
          <w:shd w:fill="FFFF00" w:color="auto" w:val="clear"/>
        </w:rPr>
        <w:t>VL_BC_ICMS_ST e VL_ICMS_ST deverão ser iguais a “0” (zero).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240" w:lineRule="auto" w:before="0" w:after="0"/>
        <w:ind w:left="821" w:right="118" w:firstLine="0"/>
        <w:jc w:val="both"/>
        <w:rPr>
          <w:sz w:val="20"/>
        </w:rPr>
      </w:pPr>
      <w:r>
        <w:rPr>
          <w:sz w:val="20"/>
        </w:rPr>
        <w:t>se os dois últimos dígitos do campo CST_ICMS forem iguais a 61, então os valores dos campos VL_BC_ICMS_ST e VL_ICMS_ST deverão ser iguais a “0” (zero).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13" w:right="0" w:firstLine="0"/>
        <w:jc w:val="both"/>
        <w:rPr>
          <w:b/>
          <w:sz w:val="23"/>
        </w:rPr>
      </w:pPr>
      <w:r>
        <w:rPr>
          <w:b/>
          <w:sz w:val="23"/>
        </w:rPr>
        <w:t>REGISTROS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H005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-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TOTAIS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INVENTÁRIO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H010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-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INVENTÁRIO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113" w:right="117" w:firstLine="708"/>
        <w:jc w:val="both"/>
      </w:pPr>
      <w:r>
        <w:rPr/>
        <w:t>O disposto na cláusula trigésima terceira-A do convênio 199/22 será atendido com a entrega do inventário no Registro H005, informando o motivo no campo 04 (MOT_INV) com o valor “01 – No final no período” e no Registro H010 com os combustíveis previstos na mesma cláusula.</w:t>
      </w:r>
    </w:p>
    <w:sectPr>
      <w:pgSz w:w="11910" w:h="16840"/>
      <w:pgMar w:header="1142" w:footer="1006" w:top="1860" w:bottom="1200" w:left="10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5648">
              <wp:simplePos x="0" y="0"/>
              <wp:positionH relativeFrom="page">
                <wp:posOffset>532765</wp:posOffset>
              </wp:positionH>
              <wp:positionV relativeFrom="page">
                <wp:posOffset>9931400</wp:posOffset>
              </wp:positionV>
              <wp:extent cx="643636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4363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360" h="635">
                            <a:moveTo>
                              <a:pt x="6436360" y="0"/>
                            </a:moveTo>
                            <a:lnTo>
                              <a:pt x="0" y="634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00832" from="548.750001pt,782pt" to="41.950001pt,782.05pt" stroked="true" strokeweight=".7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6160">
              <wp:simplePos x="0" y="0"/>
              <wp:positionH relativeFrom="page">
                <wp:posOffset>6810756</wp:posOffset>
              </wp:positionH>
              <wp:positionV relativeFrom="page">
                <wp:posOffset>9937248</wp:posOffset>
              </wp:positionV>
              <wp:extent cx="15240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1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80029pt;margin-top:782.46051pt;width:12pt;height:13.05pt;mso-position-horizontal-relative:page;mso-position-vertical-relative:page;z-index:-158003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715644</wp:posOffset>
              </wp:positionH>
              <wp:positionV relativeFrom="page">
                <wp:posOffset>986154</wp:posOffset>
              </wp:positionV>
              <wp:extent cx="619379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937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93790" h="0">
                            <a:moveTo>
                              <a:pt x="0" y="0"/>
                            </a:moveTo>
                            <a:lnTo>
                              <a:pt x="6193789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01856" from="56.349998pt,77.649986pt" to="544.049998pt,77.649986pt" stroked="true" strokeweight=".7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1816354</wp:posOffset>
              </wp:positionH>
              <wp:positionV relativeFrom="page">
                <wp:posOffset>712554</wp:posOffset>
              </wp:positionV>
              <wp:extent cx="510921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109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Nota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Orientativa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01/2023</w:t>
                          </w:r>
                          <w:r>
                            <w:rPr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ICMS monofásico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– setor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combustíveis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versão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3.020004pt;margin-top:56.106625pt;width:402.3pt;height:15.3pt;mso-position-horizontal-relative:page;mso-position-vertical-relative:page;z-index:-1580134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Orientativa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01/2023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ICMS monofásico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 setor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combustíveis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versão </w:t>
                    </w:r>
                    <w:r>
                      <w:rPr>
                        <w:spacing w:val="-5"/>
                        <w:sz w:val="24"/>
                      </w:rPr>
                      <w:t>1.4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33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24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1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5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2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42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1" w:hanging="732"/>
        <w:jc w:val="left"/>
      </w:pPr>
      <w:rPr>
        <w:rFonts w:hint="default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6" w:hanging="7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3" w:hanging="7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9" w:hanging="7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6" w:hanging="7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3" w:hanging="7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9" w:hanging="7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6" w:hanging="7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53" w:hanging="732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18" w:hanging="425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Yamada</dc:creator>
  <dcterms:created xsi:type="dcterms:W3CDTF">2025-03-03T18:58:22Z</dcterms:created>
  <dcterms:modified xsi:type="dcterms:W3CDTF">2025-03-03T18:58:22Z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para Microsoft 365</vt:lpwstr>
  </property>
</Properties>
</file>