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ind w:right="116"/>
        <w:jc w:val="right"/>
        <w:rPr>
          <w:rFonts w:ascii="Arial"/>
        </w:rPr>
      </w:pPr>
      <w:r>
        <w:rPr>
          <w:rFonts w:ascii="Arial"/>
          <w:w w:val="90"/>
        </w:rPr>
        <w:t>Nota</w:t>
      </w:r>
      <w:r>
        <w:rPr>
          <w:rFonts w:ascii="Arial"/>
          <w:spacing w:val="-7"/>
        </w:rPr>
        <w:t> </w:t>
      </w:r>
      <w:r>
        <w:rPr>
          <w:rFonts w:ascii="Arial"/>
          <w:spacing w:val="-2"/>
        </w:rPr>
        <w:t>orientativa</w:t>
      </w:r>
    </w:p>
    <w:p>
      <w:pPr>
        <w:pStyle w:val="BodyText"/>
        <w:spacing w:before="0"/>
        <w:ind w:left="0" w:firstLine="0"/>
        <w:jc w:val="left"/>
        <w:rPr>
          <w:rFonts w:ascii="Arial"/>
          <w:b/>
          <w:sz w:val="24"/>
        </w:rPr>
      </w:pPr>
    </w:p>
    <w:p>
      <w:pPr>
        <w:pStyle w:val="Title"/>
        <w:spacing w:before="152"/>
        <w:ind w:left="102"/>
      </w:pPr>
      <w:r>
        <w:rPr/>
        <w:t>Nota Orientativa para transferência de créditos nas remessas interestaduais entre estabelecimentos do mesmo titular.</w:t>
      </w:r>
    </w:p>
    <w:p>
      <w:pPr>
        <w:pStyle w:val="BodyText"/>
        <w:spacing w:before="163"/>
        <w:ind w:right="118"/>
      </w:pPr>
      <w:r>
        <w:rPr/>
        <w:t>Esta Nota Orientativa descreve, de forma provisória, o procedimento de emissão e escrituração de documentos fiscais nas remessas interestaduais de bens e mercadorias entre estabelecimentos de mesma titularidade, em decorrência da decisão do STF na ADC 49.</w:t>
      </w:r>
    </w:p>
    <w:p>
      <w:pPr>
        <w:pStyle w:val="BodyText"/>
        <w:ind w:right="117"/>
      </w:pPr>
      <w:r>
        <w:rPr/>
        <w:t>As orientações a seguir têm como objetivo não impactar as transferências até a adequação das</w:t>
      </w:r>
      <w:r>
        <w:rPr>
          <w:spacing w:val="-8"/>
        </w:rPr>
        <w:t> </w:t>
      </w:r>
      <w:r>
        <w:rPr/>
        <w:t>obrigações</w:t>
      </w:r>
      <w:r>
        <w:rPr>
          <w:spacing w:val="-8"/>
        </w:rPr>
        <w:t> </w:t>
      </w:r>
      <w:r>
        <w:rPr/>
        <w:t>acessórias</w:t>
      </w:r>
      <w:r>
        <w:rPr>
          <w:spacing w:val="-8"/>
        </w:rPr>
        <w:t> </w:t>
      </w:r>
      <w:r>
        <w:rPr/>
        <w:t>para</w:t>
      </w:r>
      <w:r>
        <w:rPr>
          <w:spacing w:val="-10"/>
        </w:rPr>
        <w:t> </w:t>
      </w:r>
      <w:r>
        <w:rPr/>
        <w:t>designarem,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meio</w:t>
      </w:r>
      <w:r>
        <w:rPr>
          <w:spacing w:val="-9"/>
        </w:rPr>
        <w:t> </w:t>
      </w:r>
      <w:r>
        <w:rPr/>
        <w:t>de</w:t>
      </w:r>
      <w:r>
        <w:rPr>
          <w:spacing w:val="-1"/>
        </w:rPr>
        <w:t> </w:t>
      </w:r>
      <w:r>
        <w:rPr/>
        <w:t>campos</w:t>
      </w:r>
      <w:r>
        <w:rPr>
          <w:spacing w:val="-8"/>
        </w:rPr>
        <w:t> </w:t>
      </w:r>
      <w:r>
        <w:rPr/>
        <w:t>próprios,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não</w:t>
      </w:r>
      <w:r>
        <w:rPr>
          <w:spacing w:val="-6"/>
        </w:rPr>
        <w:t> </w:t>
      </w:r>
      <w:r>
        <w:rPr/>
        <w:t>incidência</w:t>
      </w:r>
      <w:r>
        <w:rPr>
          <w:spacing w:val="-10"/>
        </w:rPr>
        <w:t> </w:t>
      </w:r>
      <w:r>
        <w:rPr/>
        <w:t>nas</w:t>
      </w:r>
      <w:r>
        <w:rPr>
          <w:spacing w:val="-5"/>
        </w:rPr>
        <w:t> </w:t>
      </w:r>
      <w:r>
        <w:rPr/>
        <w:t>remessas</w:t>
      </w:r>
      <w:r>
        <w:rPr>
          <w:spacing w:val="-7"/>
        </w:rPr>
        <w:t> </w:t>
      </w:r>
      <w:r>
        <w:rPr/>
        <w:t>de bens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mercadorias</w:t>
      </w:r>
      <w:r>
        <w:rPr>
          <w:spacing w:val="-5"/>
        </w:rPr>
        <w:t> </w:t>
      </w:r>
      <w:r>
        <w:rPr/>
        <w:t>entre</w:t>
      </w:r>
      <w:r>
        <w:rPr>
          <w:spacing w:val="-4"/>
        </w:rPr>
        <w:t> </w:t>
      </w:r>
      <w:r>
        <w:rPr/>
        <w:t>estabelecimentos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mesma</w:t>
      </w:r>
      <w:r>
        <w:rPr>
          <w:spacing w:val="-4"/>
        </w:rPr>
        <w:t> </w:t>
      </w:r>
      <w:r>
        <w:rPr/>
        <w:t>titularidade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transferência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créditos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ICMS</w:t>
      </w:r>
      <w:r>
        <w:rPr>
          <w:spacing w:val="-2"/>
        </w:rPr>
        <w:t> </w:t>
      </w:r>
      <w:r>
        <w:rPr/>
        <w:t>do remetente ao destinatário.</w:t>
      </w:r>
    </w:p>
    <w:p>
      <w:pPr>
        <w:pStyle w:val="BodyText"/>
        <w:ind w:left="1234" w:firstLine="0"/>
        <w:jc w:val="left"/>
      </w:pPr>
      <w:r>
        <w:rPr/>
        <w:t>Emissão</w:t>
      </w:r>
      <w:r>
        <w:rPr>
          <w:spacing w:val="-4"/>
        </w:rPr>
        <w:t> </w:t>
      </w:r>
      <w:r>
        <w:rPr/>
        <w:t>das</w:t>
      </w:r>
      <w:r>
        <w:rPr>
          <w:spacing w:val="-5"/>
        </w:rPr>
        <w:t> </w:t>
      </w:r>
      <w:r>
        <w:rPr/>
        <w:t>notas</w:t>
      </w:r>
      <w:r>
        <w:rPr>
          <w:spacing w:val="-5"/>
        </w:rPr>
        <w:t> </w:t>
      </w:r>
      <w:r>
        <w:rPr>
          <w:spacing w:val="-2"/>
        </w:rPr>
        <w:t>fiscais:</w:t>
      </w:r>
    </w:p>
    <w:p>
      <w:pPr>
        <w:pStyle w:val="BodyText"/>
        <w:spacing w:before="159"/>
        <w:ind w:right="117"/>
      </w:pPr>
      <w:r>
        <w:rPr/>
        <w:t>As orientações para emissão das notas fiscais de transferências de bens e mercadorias seguirão a legislação vigente até 2023, adotando os campos de ICMS já utilizados, ainda que não reflitam o significado jurídico da</w:t>
      </w:r>
      <w:r>
        <w:rPr>
          <w:spacing w:val="-3"/>
        </w:rPr>
        <w:t> </w:t>
      </w:r>
      <w:r>
        <w:rPr/>
        <w:t>não incidência, de</w:t>
      </w:r>
      <w:r>
        <w:rPr>
          <w:spacing w:val="-3"/>
        </w:rPr>
        <w:t> </w:t>
      </w:r>
      <w:r>
        <w:rPr/>
        <w:t>forma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documentar o valor do crédito a</w:t>
      </w:r>
      <w:r>
        <w:rPr>
          <w:spacing w:val="-1"/>
        </w:rPr>
        <w:t> </w:t>
      </w:r>
      <w:r>
        <w:rPr/>
        <w:t>ser transferido.</w:t>
      </w:r>
      <w:r>
        <w:rPr>
          <w:spacing w:val="-1"/>
        </w:rPr>
        <w:t> </w:t>
      </w:r>
      <w:r>
        <w:rPr/>
        <w:t>Essas notas</w:t>
      </w:r>
      <w:r>
        <w:rPr>
          <w:spacing w:val="-7"/>
        </w:rPr>
        <w:t> </w:t>
      </w:r>
      <w:r>
        <w:rPr/>
        <w:t>fiscais</w:t>
      </w:r>
      <w:r>
        <w:rPr>
          <w:spacing w:val="-7"/>
        </w:rPr>
        <w:t> </w:t>
      </w:r>
      <w:r>
        <w:rPr/>
        <w:t>devem</w:t>
      </w:r>
      <w:r>
        <w:rPr>
          <w:spacing w:val="-6"/>
        </w:rPr>
        <w:t> </w:t>
      </w:r>
      <w:r>
        <w:rPr/>
        <w:t>ter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campo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informações</w:t>
      </w:r>
      <w:r>
        <w:rPr>
          <w:spacing w:val="-7"/>
        </w:rPr>
        <w:t> </w:t>
      </w:r>
      <w:r>
        <w:rPr/>
        <w:t>adicionais</w:t>
      </w:r>
      <w:r>
        <w:rPr>
          <w:spacing w:val="-8"/>
        </w:rPr>
        <w:t> </w:t>
      </w:r>
      <w:r>
        <w:rPr/>
        <w:t>do</w:t>
      </w:r>
      <w:r>
        <w:rPr>
          <w:spacing w:val="-6"/>
        </w:rPr>
        <w:t> </w:t>
      </w:r>
      <w:r>
        <w:rPr/>
        <w:t>fisco</w:t>
      </w:r>
      <w:r>
        <w:rPr>
          <w:spacing w:val="-5"/>
        </w:rPr>
        <w:t> </w:t>
      </w:r>
      <w:r>
        <w:rPr/>
        <w:t>preenchido</w:t>
      </w:r>
      <w:r>
        <w:rPr>
          <w:spacing w:val="-6"/>
        </w:rPr>
        <w:t> </w:t>
      </w:r>
      <w:r>
        <w:rPr/>
        <w:t>com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texto</w:t>
      </w:r>
      <w:r>
        <w:rPr>
          <w:spacing w:val="-8"/>
        </w:rPr>
        <w:t> </w:t>
      </w:r>
      <w:r>
        <w:rPr/>
        <w:t>“Nota fiscal</w:t>
      </w:r>
      <w:r>
        <w:rPr>
          <w:spacing w:val="-6"/>
        </w:rPr>
        <w:t> </w:t>
      </w:r>
      <w:r>
        <w:rPr/>
        <w:t>de transferência de bens e mercadorias não sujeita à incidência de ICMS, de que trata a ADC 49, emitida de forma a operacionalizar a transferência de crédito de ICMS”.</w:t>
      </w:r>
    </w:p>
    <w:p>
      <w:pPr>
        <w:pStyle w:val="BodyText"/>
        <w:spacing w:before="161"/>
        <w:ind w:left="1234" w:firstLine="0"/>
        <w:jc w:val="left"/>
      </w:pPr>
      <w:r>
        <w:rPr>
          <w:spacing w:val="-2"/>
        </w:rPr>
        <w:t>Escrituração:</w:t>
      </w:r>
    </w:p>
    <w:p>
      <w:pPr>
        <w:pStyle w:val="BodyText"/>
        <w:spacing w:before="161"/>
        <w:ind w:right="127"/>
      </w:pPr>
      <w:r>
        <w:rPr/>
        <w:t>A escrituração das notas fiscais de transferência de bens e mercadorias deverá seguir o modelo de escrituração com débitos e créditos nos campos de ICMS dos livros de entrada e de saída, no Registro C190, seguindo a legislação vigente em 2023.</w:t>
      </w:r>
    </w:p>
    <w:p>
      <w:pPr>
        <w:pStyle w:val="BodyText"/>
        <w:ind w:right="119"/>
      </w:pPr>
      <w:r>
        <w:rPr/>
        <w:t>Esta</w:t>
      </w:r>
      <w:r>
        <w:rPr>
          <w:spacing w:val="-8"/>
        </w:rPr>
        <w:t> </w:t>
      </w:r>
      <w:r>
        <w:rPr/>
        <w:t>orientação</w:t>
      </w:r>
      <w:r>
        <w:rPr>
          <w:spacing w:val="-9"/>
        </w:rPr>
        <w:t> </w:t>
      </w:r>
      <w:r>
        <w:rPr/>
        <w:t>é</w:t>
      </w:r>
      <w:r>
        <w:rPr>
          <w:spacing w:val="-10"/>
        </w:rPr>
        <w:t> </w:t>
      </w:r>
      <w:r>
        <w:rPr/>
        <w:t>provisória</w:t>
      </w:r>
      <w:r>
        <w:rPr>
          <w:spacing w:val="-8"/>
        </w:rPr>
        <w:t> </w:t>
      </w:r>
      <w:r>
        <w:rPr/>
        <w:t>e</w:t>
      </w:r>
      <w:r>
        <w:rPr>
          <w:spacing w:val="-12"/>
        </w:rPr>
        <w:t> </w:t>
      </w:r>
      <w:r>
        <w:rPr/>
        <w:t>deverá</w:t>
      </w:r>
      <w:r>
        <w:rPr>
          <w:spacing w:val="-10"/>
        </w:rPr>
        <w:t> </w:t>
      </w:r>
      <w:r>
        <w:rPr/>
        <w:t>ser</w:t>
      </w:r>
      <w:r>
        <w:rPr>
          <w:spacing w:val="-7"/>
        </w:rPr>
        <w:t> </w:t>
      </w:r>
      <w:r>
        <w:rPr/>
        <w:t>observada</w:t>
      </w:r>
      <w:r>
        <w:rPr>
          <w:spacing w:val="-10"/>
        </w:rPr>
        <w:t> </w:t>
      </w:r>
      <w:r>
        <w:rPr/>
        <w:t>na</w:t>
      </w:r>
      <w:r>
        <w:rPr>
          <w:spacing w:val="-10"/>
        </w:rPr>
        <w:t> </w:t>
      </w:r>
      <w:r>
        <w:rPr/>
        <w:t>emissão</w:t>
      </w:r>
      <w:r>
        <w:rPr>
          <w:spacing w:val="-6"/>
        </w:rPr>
        <w:t> </w:t>
      </w:r>
      <w:r>
        <w:rPr/>
        <w:t>e</w:t>
      </w:r>
      <w:r>
        <w:rPr>
          <w:spacing w:val="-10"/>
        </w:rPr>
        <w:t> </w:t>
      </w:r>
      <w:r>
        <w:rPr/>
        <w:t>escrituração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notas</w:t>
      </w:r>
      <w:r>
        <w:rPr>
          <w:spacing w:val="-3"/>
        </w:rPr>
        <w:t> </w:t>
      </w:r>
      <w:r>
        <w:rPr/>
        <w:t>fiscais relativas</w:t>
      </w:r>
      <w:r>
        <w:rPr>
          <w:spacing w:val="-13"/>
        </w:rPr>
        <w:t> </w:t>
      </w:r>
      <w:r>
        <w:rPr/>
        <w:t>às</w:t>
      </w:r>
      <w:r>
        <w:rPr>
          <w:spacing w:val="-12"/>
        </w:rPr>
        <w:t> </w:t>
      </w:r>
      <w:r>
        <w:rPr/>
        <w:t>transferências</w:t>
      </w:r>
      <w:r>
        <w:rPr>
          <w:spacing w:val="-13"/>
        </w:rPr>
        <w:t> </w:t>
      </w:r>
      <w:r>
        <w:rPr/>
        <w:t>realizadas</w:t>
      </w:r>
      <w:r>
        <w:rPr>
          <w:spacing w:val="-12"/>
        </w:rPr>
        <w:t> </w:t>
      </w:r>
      <w:r>
        <w:rPr/>
        <w:t>até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publicação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ato</w:t>
      </w:r>
      <w:r>
        <w:rPr>
          <w:spacing w:val="-13"/>
        </w:rPr>
        <w:t> </w:t>
      </w:r>
      <w:r>
        <w:rPr/>
        <w:t>normativo</w:t>
      </w:r>
      <w:r>
        <w:rPr>
          <w:spacing w:val="-12"/>
        </w:rPr>
        <w:t> </w:t>
      </w:r>
      <w:r>
        <w:rPr/>
        <w:t>definindo</w:t>
      </w:r>
      <w:r>
        <w:rPr>
          <w:spacing w:val="-13"/>
        </w:rPr>
        <w:t> </w:t>
      </w:r>
      <w:r>
        <w:rPr/>
        <w:t>procedimentos</w:t>
      </w:r>
      <w:r>
        <w:rPr>
          <w:spacing w:val="-12"/>
        </w:rPr>
        <w:t> </w:t>
      </w:r>
      <w:r>
        <w:rPr/>
        <w:t>específicos para explicitar a não incidência e a transferência do crédito do imposto.</w:t>
      </w:r>
    </w:p>
    <w:sectPr>
      <w:type w:val="continuous"/>
      <w:pgSz w:w="11910" w:h="16840"/>
      <w:pgMar w:top="6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60"/>
      <w:ind w:left="102" w:firstLine="1132"/>
      <w:jc w:val="both"/>
    </w:pPr>
    <w:rPr>
      <w:rFonts w:ascii="Times New Roman" w:hAnsi="Times New Roman" w:eastAsia="Times New Roman" w:cs="Times New Roman"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32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Yamada</dc:creator>
  <dcterms:created xsi:type="dcterms:W3CDTF">2025-03-03T18:58:23Z</dcterms:created>
  <dcterms:modified xsi:type="dcterms:W3CDTF">2025-03-03T18:58:23Z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2025-03-03T00:00:00Z</vt:filetime>
  </property>
  <property fmtid="{D5CDD505-2E9C-101B-9397-08002B2CF9AE}" pid="5" name="Producer">
    <vt:lpwstr>Microsoft® Word para Microsoft 365</vt:lpwstr>
  </property>
</Properties>
</file>