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2B5A9" w14:textId="4F7E44E1" w:rsidR="00615167" w:rsidRDefault="00615167" w:rsidP="00615167">
      <w:r>
        <w:rPr>
          <w:noProof/>
        </w:rPr>
        <w:drawing>
          <wp:anchor distT="0" distB="0" distL="114300" distR="114300" simplePos="0" relativeHeight="251659264" behindDoc="0" locked="0" layoutInCell="1" allowOverlap="1" wp14:anchorId="114EFC4E" wp14:editId="65A02525">
            <wp:simplePos x="0" y="0"/>
            <wp:positionH relativeFrom="column">
              <wp:posOffset>914400</wp:posOffset>
            </wp:positionH>
            <wp:positionV relativeFrom="paragraph">
              <wp:posOffset>-209550</wp:posOffset>
            </wp:positionV>
            <wp:extent cx="3655060" cy="914400"/>
            <wp:effectExtent l="0" t="0" r="2540" b="0"/>
            <wp:wrapNone/>
            <wp:docPr id="304058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58031" name="Imagem 3040580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0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01370" w14:textId="4FC0E9AF" w:rsidR="00615167" w:rsidRDefault="00615167" w:rsidP="00615167"/>
    <w:p w14:paraId="14DA8B23" w14:textId="52A15303" w:rsidR="00615167" w:rsidRPr="00615167" w:rsidRDefault="00615167" w:rsidP="00615167"/>
    <w:p w14:paraId="377177A9" w14:textId="0F3D311B" w:rsidR="00852445" w:rsidRDefault="00CB6380" w:rsidP="00615167">
      <w:pPr>
        <w:pStyle w:val="Ttulo"/>
        <w:jc w:val="center"/>
      </w:pPr>
      <w:r>
        <w:t xml:space="preserve">Plano </w:t>
      </w:r>
      <w:proofErr w:type="spellStart"/>
      <w:r>
        <w:t>Estratégico</w:t>
      </w:r>
      <w:proofErr w:type="spellEnd"/>
      <w:r>
        <w:t xml:space="preserve"> de </w:t>
      </w:r>
      <w:proofErr w:type="spellStart"/>
      <w:r>
        <w:t>Transição</w:t>
      </w:r>
      <w:proofErr w:type="spellEnd"/>
      <w:r>
        <w:t xml:space="preserve"> </w:t>
      </w:r>
      <w:proofErr w:type="spellStart"/>
      <w:r>
        <w:t>Tributária</w:t>
      </w:r>
      <w:proofErr w:type="spellEnd"/>
      <w:r>
        <w:t xml:space="preserve"> – Setor de Varejo</w:t>
      </w:r>
    </w:p>
    <w:p w14:paraId="17085F3F" w14:textId="77777777" w:rsidR="00852445" w:rsidRDefault="00CB6380">
      <w:pPr>
        <w:pStyle w:val="Ttulo1"/>
      </w:pPr>
      <w:r>
        <w:t>1. Diagnóstico Fiscal e Mapeamento de Impactos (2025–início de 2026)</w:t>
      </w:r>
    </w:p>
    <w:p w14:paraId="373AA6FD" w14:textId="77777777" w:rsidR="00852445" w:rsidRDefault="00CB6380">
      <w:pPr>
        <w:pStyle w:val="Commarcadores"/>
      </w:pPr>
      <w:r>
        <w:t>• Mapear os tributos substituídos (ICMS, ISS, PIS, COFINS, IPI).</w:t>
      </w:r>
    </w:p>
    <w:p w14:paraId="60250D1A" w14:textId="66FE2807" w:rsidR="00852445" w:rsidRDefault="00CB6380">
      <w:pPr>
        <w:pStyle w:val="Commarcadores"/>
      </w:pPr>
      <w:r>
        <w:t xml:space="preserve">• </w:t>
      </w:r>
      <w:proofErr w:type="spellStart"/>
      <w:r>
        <w:t>Simular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de IBS, CBS e IS com base nas </w:t>
      </w:r>
      <w:r>
        <w:t>alíquotas de referência.</w:t>
      </w:r>
    </w:p>
    <w:p w14:paraId="08748C72" w14:textId="73587A27" w:rsidR="00852445" w:rsidRDefault="00CB6380">
      <w:pPr>
        <w:pStyle w:val="Commarcadores"/>
      </w:pPr>
      <w:r>
        <w:t xml:space="preserve">•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contratos</w:t>
      </w:r>
      <w:proofErr w:type="spellEnd"/>
      <w:r>
        <w:t xml:space="preserve"> com fornecedores e cláusulas de preço.</w:t>
      </w:r>
    </w:p>
    <w:p w14:paraId="7A3C9766" w14:textId="0AFFD9F9" w:rsidR="00852445" w:rsidRDefault="00CB6380">
      <w:pPr>
        <w:pStyle w:val="Commarcadores"/>
      </w:pPr>
      <w:r>
        <w:t xml:space="preserve">• </w:t>
      </w:r>
      <w:proofErr w:type="spellStart"/>
      <w:r>
        <w:t>Analisar</w:t>
      </w:r>
      <w:proofErr w:type="spellEnd"/>
      <w:r>
        <w:t xml:space="preserve"> a </w:t>
      </w:r>
      <w:proofErr w:type="spellStart"/>
      <w:r>
        <w:t>formação</w:t>
      </w:r>
      <w:proofErr w:type="spellEnd"/>
      <w:r>
        <w:t xml:space="preserve"> de preço ao consumidor.</w:t>
      </w:r>
    </w:p>
    <w:p w14:paraId="018927C8" w14:textId="76F27BA4" w:rsidR="00852445" w:rsidRDefault="00CB6380">
      <w:pPr>
        <w:pStyle w:val="Ttulo1"/>
      </w:pPr>
      <w:r>
        <w:t>2. Adequação dos Sistemas Fiscais e ERPs (até o final de 2026)</w:t>
      </w:r>
    </w:p>
    <w:p w14:paraId="05C7E3B9" w14:textId="77777777" w:rsidR="00852445" w:rsidRDefault="00CB6380">
      <w:pPr>
        <w:pStyle w:val="Commarcadores"/>
      </w:pPr>
      <w:r>
        <w:t>• Adequar o ERP ao layout unificado da NFS-e nacional.</w:t>
      </w:r>
    </w:p>
    <w:p w14:paraId="6077EF4C" w14:textId="77777777" w:rsidR="00852445" w:rsidRDefault="00CB6380">
      <w:pPr>
        <w:pStyle w:val="Commarcadores"/>
      </w:pPr>
      <w:r>
        <w:t>• Incluir campos para IBS, CBS e IS.</w:t>
      </w:r>
    </w:p>
    <w:p w14:paraId="742419B2" w14:textId="3E51470B" w:rsidR="00852445" w:rsidRDefault="00CB6380">
      <w:pPr>
        <w:pStyle w:val="Commarcadores"/>
      </w:pPr>
      <w:r>
        <w:t xml:space="preserve">• </w:t>
      </w:r>
      <w:proofErr w:type="spellStart"/>
      <w:r>
        <w:t>Integrar</w:t>
      </w:r>
      <w:proofErr w:type="spellEnd"/>
      <w:r>
        <w:t xml:space="preserve"> com </w:t>
      </w:r>
      <w:proofErr w:type="spellStart"/>
      <w:r>
        <w:t>plataformas</w:t>
      </w:r>
      <w:proofErr w:type="spellEnd"/>
      <w:r>
        <w:t xml:space="preserve"> de pagamento (Split Payment).</w:t>
      </w:r>
    </w:p>
    <w:p w14:paraId="27FAAF83" w14:textId="4F11D602" w:rsidR="00852445" w:rsidRDefault="00CB6380">
      <w:pPr>
        <w:pStyle w:val="Commarcadores"/>
      </w:pPr>
      <w:r>
        <w:t xml:space="preserve">•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conformidade</w:t>
      </w:r>
      <w:proofErr w:type="spellEnd"/>
      <w:r>
        <w:t xml:space="preserve"> dos documentos fiscais eletrônicos.</w:t>
      </w:r>
    </w:p>
    <w:p w14:paraId="572BF327" w14:textId="77777777" w:rsidR="00852445" w:rsidRDefault="00CB6380">
      <w:pPr>
        <w:pStyle w:val="Ttulo1"/>
      </w:pPr>
      <w:r>
        <w:t>3. Reestruturação do Compliance Tributário (2026 a 2027)</w:t>
      </w:r>
    </w:p>
    <w:p w14:paraId="4C1C12B5" w14:textId="77777777" w:rsidR="00852445" w:rsidRDefault="00CB6380">
      <w:pPr>
        <w:pStyle w:val="Commarcadores"/>
      </w:pPr>
      <w:r>
        <w:t>• Estabelecer apuração unificada de créditos e débitos.</w:t>
      </w:r>
    </w:p>
    <w:p w14:paraId="6C06870A" w14:textId="01E4D6FC" w:rsidR="00852445" w:rsidRDefault="00CB6380">
      <w:pPr>
        <w:pStyle w:val="Commarcadores"/>
      </w:pPr>
      <w:r>
        <w:t xml:space="preserve">• </w:t>
      </w:r>
      <w:proofErr w:type="spellStart"/>
      <w:r>
        <w:t>Treinar</w:t>
      </w:r>
      <w:proofErr w:type="spellEnd"/>
      <w:r>
        <w:t xml:space="preserve"> equipe fiscal sobre regime regular, split payment e não cumulatividade.</w:t>
      </w:r>
    </w:p>
    <w:p w14:paraId="517769F1" w14:textId="77777777" w:rsidR="00852445" w:rsidRDefault="00CB6380">
      <w:pPr>
        <w:pStyle w:val="Commarcadores"/>
      </w:pPr>
      <w:r>
        <w:t>• Ingressar em programas de conformidade fiscal.</w:t>
      </w:r>
    </w:p>
    <w:p w14:paraId="6D281E30" w14:textId="1D10355D" w:rsidR="00852445" w:rsidRDefault="00CB6380">
      <w:pPr>
        <w:pStyle w:val="Ttulo1"/>
      </w:pPr>
      <w:r>
        <w:t>4. Estratégia de Gestão de Créditos (2026 a 2029)</w:t>
      </w:r>
    </w:p>
    <w:p w14:paraId="371AF6E6" w14:textId="77777777" w:rsidR="00852445" w:rsidRDefault="00CB6380">
      <w:pPr>
        <w:pStyle w:val="Commarcadores"/>
      </w:pPr>
      <w:r>
        <w:t>• Ajustar estratégias de crédito e estorno.</w:t>
      </w:r>
    </w:p>
    <w:p w14:paraId="207E98EB" w14:textId="77777777" w:rsidR="00852445" w:rsidRDefault="00CB6380">
      <w:pPr>
        <w:pStyle w:val="Commarcadores"/>
      </w:pPr>
      <w:r>
        <w:t>• Avaliar impactos sobre produtos imunes, isentos ou com alíquota zero.</w:t>
      </w:r>
    </w:p>
    <w:p w14:paraId="33BD2E29" w14:textId="042D2172" w:rsidR="00852445" w:rsidRDefault="00CB6380">
      <w:pPr>
        <w:pStyle w:val="Commarcadores"/>
      </w:pPr>
      <w:r>
        <w:t xml:space="preserve">• </w:t>
      </w:r>
      <w:proofErr w:type="spellStart"/>
      <w:r>
        <w:t>Planejar</w:t>
      </w:r>
      <w:proofErr w:type="spellEnd"/>
      <w:r>
        <w:t xml:space="preserve"> </w:t>
      </w:r>
      <w:proofErr w:type="spellStart"/>
      <w:r>
        <w:t>ressarcimento</w:t>
      </w:r>
      <w:proofErr w:type="spellEnd"/>
      <w:r>
        <w:t xml:space="preserve"> </w:t>
      </w:r>
      <w:proofErr w:type="spellStart"/>
      <w:r>
        <w:t>estratégico</w:t>
      </w:r>
      <w:proofErr w:type="spellEnd"/>
      <w:r>
        <w:t xml:space="preserve"> com base nos prazos legais.</w:t>
      </w:r>
    </w:p>
    <w:p w14:paraId="7BA0BCF9" w14:textId="77777777" w:rsidR="00852445" w:rsidRDefault="00CB6380">
      <w:pPr>
        <w:pStyle w:val="Ttulo1"/>
      </w:pPr>
      <w:r>
        <w:t>5. Governança e Monitoramento da Transição (até 2032)</w:t>
      </w:r>
    </w:p>
    <w:p w14:paraId="607E93BE" w14:textId="4084E833" w:rsidR="00852445" w:rsidRDefault="00CB6380">
      <w:pPr>
        <w:pStyle w:val="Commarcadores"/>
      </w:pPr>
      <w:r>
        <w:t xml:space="preserve">• </w:t>
      </w:r>
      <w:proofErr w:type="spellStart"/>
      <w:r>
        <w:t>Nomear</w:t>
      </w:r>
      <w:proofErr w:type="spellEnd"/>
      <w:r>
        <w:t xml:space="preserve"> </w:t>
      </w:r>
      <w:proofErr w:type="spellStart"/>
      <w:r>
        <w:t>comitê</w:t>
      </w:r>
      <w:proofErr w:type="spellEnd"/>
      <w:r>
        <w:t xml:space="preserve"> </w:t>
      </w:r>
      <w:proofErr w:type="spellStart"/>
      <w:r>
        <w:t>interno</w:t>
      </w:r>
      <w:proofErr w:type="spellEnd"/>
      <w:r>
        <w:t xml:space="preserve"> de transição tributária.</w:t>
      </w:r>
    </w:p>
    <w:p w14:paraId="72F6C074" w14:textId="17C1147F" w:rsidR="00852445" w:rsidRDefault="00CB6380">
      <w:pPr>
        <w:pStyle w:val="Commarcadores"/>
      </w:pPr>
      <w:r>
        <w:t xml:space="preserve">• </w:t>
      </w:r>
      <w:proofErr w:type="spellStart"/>
      <w:r>
        <w:t>Monitorar</w:t>
      </w:r>
      <w:proofErr w:type="spellEnd"/>
      <w:r>
        <w:t xml:space="preserve"> </w:t>
      </w:r>
      <w:proofErr w:type="spellStart"/>
      <w:r>
        <w:t>resoluções</w:t>
      </w:r>
      <w:proofErr w:type="spellEnd"/>
      <w:r>
        <w:t xml:space="preserve"> do Senado sobre alíquotas.</w:t>
      </w:r>
    </w:p>
    <w:p w14:paraId="7F421993" w14:textId="58D499D2" w:rsidR="00852445" w:rsidRDefault="00CB6380">
      <w:pPr>
        <w:pStyle w:val="Commarcadores"/>
      </w:pPr>
      <w:r>
        <w:t xml:space="preserve">•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fluxo</w:t>
      </w:r>
      <w:proofErr w:type="spellEnd"/>
      <w:r>
        <w:t xml:space="preserve"> de caixa para adaptação ao split payment.</w:t>
      </w:r>
    </w:p>
    <w:p w14:paraId="2BACA796" w14:textId="723651C7" w:rsidR="00615167" w:rsidRPr="00615167" w:rsidRDefault="00CB6380" w:rsidP="00615167">
      <w:pPr>
        <w:pStyle w:val="Ttulo"/>
      </w:pPr>
      <w:r>
        <w:br w:type="page"/>
      </w:r>
      <w:r w:rsidRPr="00615167">
        <w:lastRenderedPageBreak/>
        <w:t xml:space="preserve">Checklist de </w:t>
      </w:r>
      <w:proofErr w:type="spellStart"/>
      <w:r w:rsidRPr="00615167">
        <w:t>Transição</w:t>
      </w:r>
      <w:proofErr w:type="spellEnd"/>
      <w:r w:rsidRPr="00615167">
        <w:t xml:space="preserve"> – </w:t>
      </w:r>
      <w:proofErr w:type="spellStart"/>
      <w:r w:rsidRPr="00615167">
        <w:t>Setor</w:t>
      </w:r>
      <w:proofErr w:type="spellEnd"/>
      <w:r w:rsidRPr="00615167">
        <w:t xml:space="preserve"> de </w:t>
      </w:r>
      <w:proofErr w:type="spellStart"/>
      <w:r w:rsidRPr="00615167">
        <w:t>Varejo</w:t>
      </w:r>
      <w:proofErr w:type="spellEnd"/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1"/>
        <w:gridCol w:w="1350"/>
        <w:gridCol w:w="2928"/>
      </w:tblGrid>
      <w:tr w:rsidR="00852445" w14:paraId="23D96DF4" w14:textId="77777777" w:rsidTr="00CB6380">
        <w:trPr>
          <w:trHeight w:val="507"/>
        </w:trPr>
        <w:tc>
          <w:tcPr>
            <w:tcW w:w="4761" w:type="dxa"/>
          </w:tcPr>
          <w:p w14:paraId="4683B33F" w14:textId="77777777" w:rsidR="00852445" w:rsidRDefault="00CB6380" w:rsidP="00CB6380">
            <w:pPr>
              <w:jc w:val="center"/>
            </w:pPr>
            <w:r>
              <w:t>I</w:t>
            </w:r>
            <w:r>
              <w:t>tem</w:t>
            </w:r>
          </w:p>
        </w:tc>
        <w:tc>
          <w:tcPr>
            <w:tcW w:w="1350" w:type="dxa"/>
          </w:tcPr>
          <w:p w14:paraId="45805CAA" w14:textId="77777777" w:rsidR="00852445" w:rsidRDefault="00CB6380" w:rsidP="00CB6380">
            <w:pPr>
              <w:jc w:val="center"/>
            </w:pPr>
            <w:r>
              <w:t>Verificado?</w:t>
            </w:r>
          </w:p>
        </w:tc>
        <w:tc>
          <w:tcPr>
            <w:tcW w:w="2928" w:type="dxa"/>
          </w:tcPr>
          <w:p w14:paraId="686FCB5C" w14:textId="77777777" w:rsidR="00852445" w:rsidRDefault="00CB6380" w:rsidP="00CB6380">
            <w:pPr>
              <w:jc w:val="center"/>
            </w:pPr>
            <w:r>
              <w:t>Observações</w:t>
            </w:r>
          </w:p>
        </w:tc>
      </w:tr>
      <w:tr w:rsidR="00852445" w14:paraId="1739B9F7" w14:textId="77777777" w:rsidTr="00CB6380">
        <w:trPr>
          <w:trHeight w:val="815"/>
        </w:trPr>
        <w:tc>
          <w:tcPr>
            <w:tcW w:w="4761" w:type="dxa"/>
          </w:tcPr>
          <w:p w14:paraId="675BE1D6" w14:textId="77777777" w:rsidR="00852445" w:rsidRDefault="00CB6380">
            <w:r>
              <w:t>Diagnóstico fiscal realizado com simulação de impacto</w:t>
            </w:r>
          </w:p>
        </w:tc>
        <w:tc>
          <w:tcPr>
            <w:tcW w:w="1350" w:type="dxa"/>
          </w:tcPr>
          <w:p w14:paraId="4AF3B16C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01EA5E8B" w14:textId="77777777" w:rsidR="00852445" w:rsidRDefault="00852445" w:rsidP="00CB6380">
            <w:pPr>
              <w:jc w:val="center"/>
            </w:pPr>
          </w:p>
        </w:tc>
      </w:tr>
      <w:tr w:rsidR="00852445" w14:paraId="42021D75" w14:textId="77777777" w:rsidTr="00CB6380">
        <w:trPr>
          <w:trHeight w:val="815"/>
        </w:trPr>
        <w:tc>
          <w:tcPr>
            <w:tcW w:w="4761" w:type="dxa"/>
          </w:tcPr>
          <w:p w14:paraId="1C9FE671" w14:textId="77777777" w:rsidR="00852445" w:rsidRDefault="00CB6380">
            <w:r>
              <w:t xml:space="preserve">Classificação correta de produtos e serviços segundo </w:t>
            </w:r>
            <w:r>
              <w:t>novas regras</w:t>
            </w:r>
          </w:p>
        </w:tc>
        <w:tc>
          <w:tcPr>
            <w:tcW w:w="1350" w:type="dxa"/>
          </w:tcPr>
          <w:p w14:paraId="3D583FE3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7D97C233" w14:textId="77777777" w:rsidR="00852445" w:rsidRDefault="00852445" w:rsidP="00CB6380">
            <w:pPr>
              <w:jc w:val="center"/>
            </w:pPr>
          </w:p>
        </w:tc>
      </w:tr>
      <w:tr w:rsidR="00852445" w14:paraId="3136F593" w14:textId="77777777" w:rsidTr="00CB6380">
        <w:trPr>
          <w:trHeight w:val="553"/>
        </w:trPr>
        <w:tc>
          <w:tcPr>
            <w:tcW w:w="4761" w:type="dxa"/>
          </w:tcPr>
          <w:p w14:paraId="6630DFF4" w14:textId="77777777" w:rsidR="00852445" w:rsidRDefault="00CB6380">
            <w:r>
              <w:t>ERP atualizado com campos para IBS, CBS, IS</w:t>
            </w:r>
          </w:p>
        </w:tc>
        <w:tc>
          <w:tcPr>
            <w:tcW w:w="1350" w:type="dxa"/>
          </w:tcPr>
          <w:p w14:paraId="7C0C744B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04D66D97" w14:textId="77777777" w:rsidR="00852445" w:rsidRDefault="00852445" w:rsidP="00CB6380">
            <w:pPr>
              <w:jc w:val="center"/>
            </w:pPr>
          </w:p>
        </w:tc>
      </w:tr>
      <w:tr w:rsidR="00852445" w14:paraId="0DE5CEAF" w14:textId="77777777" w:rsidTr="00CB6380">
        <w:trPr>
          <w:trHeight w:val="538"/>
        </w:trPr>
        <w:tc>
          <w:tcPr>
            <w:tcW w:w="4761" w:type="dxa"/>
          </w:tcPr>
          <w:p w14:paraId="2477D954" w14:textId="77777777" w:rsidR="00852445" w:rsidRDefault="00CB6380">
            <w:r>
              <w:t>Layout NFS-e nacional adotado para serviços</w:t>
            </w:r>
          </w:p>
        </w:tc>
        <w:tc>
          <w:tcPr>
            <w:tcW w:w="1350" w:type="dxa"/>
          </w:tcPr>
          <w:p w14:paraId="24D92596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3983BC91" w14:textId="77777777" w:rsidR="00852445" w:rsidRDefault="00852445" w:rsidP="00CB6380">
            <w:pPr>
              <w:jc w:val="center"/>
            </w:pPr>
          </w:p>
        </w:tc>
      </w:tr>
      <w:tr w:rsidR="00852445" w14:paraId="7F4D7CA4" w14:textId="77777777" w:rsidTr="00CB6380">
        <w:trPr>
          <w:trHeight w:val="553"/>
        </w:trPr>
        <w:tc>
          <w:tcPr>
            <w:tcW w:w="4761" w:type="dxa"/>
          </w:tcPr>
          <w:p w14:paraId="4436D868" w14:textId="77777777" w:rsidR="00852445" w:rsidRDefault="00CB6380">
            <w:r>
              <w:t>Equipe fiscal treinada sobre nova legislação</w:t>
            </w:r>
          </w:p>
        </w:tc>
        <w:tc>
          <w:tcPr>
            <w:tcW w:w="1350" w:type="dxa"/>
          </w:tcPr>
          <w:p w14:paraId="0718D68A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5EEB2DEB" w14:textId="77777777" w:rsidR="00852445" w:rsidRDefault="00852445" w:rsidP="00CB6380">
            <w:pPr>
              <w:jc w:val="center"/>
            </w:pPr>
          </w:p>
        </w:tc>
      </w:tr>
      <w:tr w:rsidR="00852445" w14:paraId="0492B390" w14:textId="77777777" w:rsidTr="00CB6380">
        <w:trPr>
          <w:trHeight w:val="553"/>
        </w:trPr>
        <w:tc>
          <w:tcPr>
            <w:tcW w:w="4761" w:type="dxa"/>
          </w:tcPr>
          <w:p w14:paraId="5AB38B79" w14:textId="77777777" w:rsidR="00852445" w:rsidRDefault="00CB6380">
            <w:r>
              <w:t>Regimes diferenciados analisados e ajustados</w:t>
            </w:r>
          </w:p>
        </w:tc>
        <w:tc>
          <w:tcPr>
            <w:tcW w:w="1350" w:type="dxa"/>
          </w:tcPr>
          <w:p w14:paraId="34FA9060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0B81908A" w14:textId="77777777" w:rsidR="00852445" w:rsidRDefault="00852445" w:rsidP="00CB6380">
            <w:pPr>
              <w:jc w:val="center"/>
            </w:pPr>
          </w:p>
        </w:tc>
      </w:tr>
      <w:tr w:rsidR="00852445" w14:paraId="2F62F2CD" w14:textId="77777777" w:rsidTr="00CB6380">
        <w:trPr>
          <w:trHeight w:val="815"/>
        </w:trPr>
        <w:tc>
          <w:tcPr>
            <w:tcW w:w="4761" w:type="dxa"/>
          </w:tcPr>
          <w:p w14:paraId="0AFF3BFC" w14:textId="77777777" w:rsidR="00852445" w:rsidRDefault="00CB6380">
            <w:r>
              <w:t xml:space="preserve">Política de bonificação, brindes e </w:t>
            </w:r>
            <w:r>
              <w:t>devolução revisada</w:t>
            </w:r>
          </w:p>
        </w:tc>
        <w:tc>
          <w:tcPr>
            <w:tcW w:w="1350" w:type="dxa"/>
          </w:tcPr>
          <w:p w14:paraId="7CACED83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1120B8EC" w14:textId="77777777" w:rsidR="00852445" w:rsidRDefault="00852445" w:rsidP="00CB6380">
            <w:pPr>
              <w:jc w:val="center"/>
            </w:pPr>
          </w:p>
        </w:tc>
      </w:tr>
      <w:tr w:rsidR="00852445" w14:paraId="3E153405" w14:textId="77777777" w:rsidTr="00CB6380">
        <w:trPr>
          <w:trHeight w:val="815"/>
        </w:trPr>
        <w:tc>
          <w:tcPr>
            <w:tcW w:w="4761" w:type="dxa"/>
          </w:tcPr>
          <w:p w14:paraId="02097DBD" w14:textId="77777777" w:rsidR="00852445" w:rsidRDefault="00CB6380">
            <w:r>
              <w:t>Integração com plataformas de pagamento para Split Payment</w:t>
            </w:r>
          </w:p>
        </w:tc>
        <w:tc>
          <w:tcPr>
            <w:tcW w:w="1350" w:type="dxa"/>
          </w:tcPr>
          <w:p w14:paraId="41297847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6EF8139C" w14:textId="77777777" w:rsidR="00852445" w:rsidRDefault="00852445" w:rsidP="00CB6380">
            <w:pPr>
              <w:jc w:val="center"/>
            </w:pPr>
          </w:p>
        </w:tc>
      </w:tr>
      <w:tr w:rsidR="00852445" w14:paraId="75B8CC31" w14:textId="77777777" w:rsidTr="00CB6380">
        <w:trPr>
          <w:trHeight w:val="815"/>
        </w:trPr>
        <w:tc>
          <w:tcPr>
            <w:tcW w:w="4761" w:type="dxa"/>
          </w:tcPr>
          <w:p w14:paraId="4E797078" w14:textId="77777777" w:rsidR="00852445" w:rsidRDefault="00CB6380">
            <w:r>
              <w:t>Procedimento de apuração de débitos e créditos testado</w:t>
            </w:r>
          </w:p>
        </w:tc>
        <w:tc>
          <w:tcPr>
            <w:tcW w:w="1350" w:type="dxa"/>
          </w:tcPr>
          <w:p w14:paraId="23DC7E77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5CEC7106" w14:textId="77777777" w:rsidR="00852445" w:rsidRDefault="00852445" w:rsidP="00CB6380">
            <w:pPr>
              <w:jc w:val="center"/>
            </w:pPr>
          </w:p>
        </w:tc>
      </w:tr>
      <w:tr w:rsidR="00852445" w14:paraId="572DDB9C" w14:textId="77777777" w:rsidTr="00CB6380">
        <w:trPr>
          <w:trHeight w:val="799"/>
        </w:trPr>
        <w:tc>
          <w:tcPr>
            <w:tcW w:w="4761" w:type="dxa"/>
          </w:tcPr>
          <w:p w14:paraId="4D7E6BE9" w14:textId="77777777" w:rsidR="00852445" w:rsidRDefault="00CB6380">
            <w:r>
              <w:t>Estratégia de uso e ressarcimento de créditos formalizada</w:t>
            </w:r>
          </w:p>
        </w:tc>
        <w:tc>
          <w:tcPr>
            <w:tcW w:w="1350" w:type="dxa"/>
          </w:tcPr>
          <w:p w14:paraId="05FEAA15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15CF9257" w14:textId="77777777" w:rsidR="00852445" w:rsidRDefault="00852445" w:rsidP="00CB6380">
            <w:pPr>
              <w:jc w:val="center"/>
            </w:pPr>
          </w:p>
        </w:tc>
      </w:tr>
      <w:tr w:rsidR="00852445" w14:paraId="3513CCF3" w14:textId="77777777" w:rsidTr="00CB6380">
        <w:trPr>
          <w:trHeight w:val="815"/>
        </w:trPr>
        <w:tc>
          <w:tcPr>
            <w:tcW w:w="4761" w:type="dxa"/>
          </w:tcPr>
          <w:p w14:paraId="154EDEDE" w14:textId="77777777" w:rsidR="00852445" w:rsidRDefault="00CB6380">
            <w:r>
              <w:t xml:space="preserve">Acompanhamento de resoluções do Senado e </w:t>
            </w:r>
            <w:r>
              <w:t>Comitê Gestor em curso</w:t>
            </w:r>
          </w:p>
        </w:tc>
        <w:tc>
          <w:tcPr>
            <w:tcW w:w="1350" w:type="dxa"/>
          </w:tcPr>
          <w:p w14:paraId="0DC8B368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67975E91" w14:textId="77777777" w:rsidR="00852445" w:rsidRDefault="00852445" w:rsidP="00CB6380">
            <w:pPr>
              <w:jc w:val="center"/>
            </w:pPr>
          </w:p>
        </w:tc>
      </w:tr>
      <w:tr w:rsidR="00852445" w14:paraId="3689A53D" w14:textId="77777777" w:rsidTr="00CB6380">
        <w:trPr>
          <w:trHeight w:val="815"/>
        </w:trPr>
        <w:tc>
          <w:tcPr>
            <w:tcW w:w="4761" w:type="dxa"/>
          </w:tcPr>
          <w:p w14:paraId="53AA4BCF" w14:textId="77777777" w:rsidR="00852445" w:rsidRDefault="00CB6380">
            <w:r>
              <w:t>Plano de comunicação com fornecedores e clientes sobre repasses tributários</w:t>
            </w:r>
          </w:p>
        </w:tc>
        <w:tc>
          <w:tcPr>
            <w:tcW w:w="1350" w:type="dxa"/>
          </w:tcPr>
          <w:p w14:paraId="472B339E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5F68120F" w14:textId="77777777" w:rsidR="00852445" w:rsidRDefault="00852445" w:rsidP="00CB6380">
            <w:pPr>
              <w:jc w:val="center"/>
            </w:pPr>
          </w:p>
        </w:tc>
      </w:tr>
      <w:tr w:rsidR="00852445" w14:paraId="31FB43B5" w14:textId="77777777" w:rsidTr="00CB6380">
        <w:trPr>
          <w:trHeight w:val="815"/>
        </w:trPr>
        <w:tc>
          <w:tcPr>
            <w:tcW w:w="4761" w:type="dxa"/>
          </w:tcPr>
          <w:p w14:paraId="5994DC31" w14:textId="77777777" w:rsidR="00852445" w:rsidRDefault="00CB6380">
            <w:r>
              <w:t>Participação em programa de conformidade (se elegível)</w:t>
            </w:r>
          </w:p>
        </w:tc>
        <w:tc>
          <w:tcPr>
            <w:tcW w:w="1350" w:type="dxa"/>
          </w:tcPr>
          <w:p w14:paraId="3ED02522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522D6151" w14:textId="77777777" w:rsidR="00852445" w:rsidRDefault="00852445" w:rsidP="00CB6380">
            <w:pPr>
              <w:jc w:val="center"/>
            </w:pPr>
          </w:p>
        </w:tc>
      </w:tr>
      <w:tr w:rsidR="00852445" w14:paraId="108A3CB6" w14:textId="77777777" w:rsidTr="00CB6380">
        <w:trPr>
          <w:trHeight w:val="815"/>
        </w:trPr>
        <w:tc>
          <w:tcPr>
            <w:tcW w:w="4761" w:type="dxa"/>
          </w:tcPr>
          <w:p w14:paraId="0F614415" w14:textId="77777777" w:rsidR="00852445" w:rsidRDefault="00CB6380">
            <w:r>
              <w:t>Cronograma de auditoria interna periódica até 2033 definido</w:t>
            </w:r>
          </w:p>
        </w:tc>
        <w:tc>
          <w:tcPr>
            <w:tcW w:w="1350" w:type="dxa"/>
          </w:tcPr>
          <w:p w14:paraId="217D9E7D" w14:textId="77777777" w:rsidR="00852445" w:rsidRDefault="00CB6380" w:rsidP="00CB6380">
            <w:pPr>
              <w:jc w:val="center"/>
            </w:pPr>
            <w:r>
              <w:t>☐</w:t>
            </w:r>
          </w:p>
        </w:tc>
        <w:tc>
          <w:tcPr>
            <w:tcW w:w="2928" w:type="dxa"/>
          </w:tcPr>
          <w:p w14:paraId="6B35F879" w14:textId="77777777" w:rsidR="00852445" w:rsidRDefault="00852445" w:rsidP="00CB6380">
            <w:pPr>
              <w:jc w:val="center"/>
            </w:pPr>
          </w:p>
        </w:tc>
      </w:tr>
    </w:tbl>
    <w:p w14:paraId="2247C43F" w14:textId="77777777" w:rsidR="00406B8E" w:rsidRDefault="00406B8E"/>
    <w:p w14:paraId="0E42BE3F" w14:textId="55F4EDC6" w:rsidR="00615167" w:rsidRDefault="00615167">
      <w:proofErr w:type="gramStart"/>
      <w:r>
        <w:t>Empresa:_</w:t>
      </w:r>
      <w:proofErr w:type="gramEnd"/>
      <w:r>
        <w:t>______________________________________________________________________________________________</w:t>
      </w:r>
    </w:p>
    <w:sectPr w:rsidR="006151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1176">
    <w:abstractNumId w:val="8"/>
  </w:num>
  <w:num w:numId="2" w16cid:durableId="136801430">
    <w:abstractNumId w:val="6"/>
  </w:num>
  <w:num w:numId="3" w16cid:durableId="973095569">
    <w:abstractNumId w:val="5"/>
  </w:num>
  <w:num w:numId="4" w16cid:durableId="1424304494">
    <w:abstractNumId w:val="4"/>
  </w:num>
  <w:num w:numId="5" w16cid:durableId="1773474626">
    <w:abstractNumId w:val="7"/>
  </w:num>
  <w:num w:numId="6" w16cid:durableId="1108696750">
    <w:abstractNumId w:val="3"/>
  </w:num>
  <w:num w:numId="7" w16cid:durableId="1649242972">
    <w:abstractNumId w:val="2"/>
  </w:num>
  <w:num w:numId="8" w16cid:durableId="306060114">
    <w:abstractNumId w:val="1"/>
  </w:num>
  <w:num w:numId="9" w16cid:durableId="1538010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B8E"/>
    <w:rsid w:val="00600EAA"/>
    <w:rsid w:val="00615167"/>
    <w:rsid w:val="00852445"/>
    <w:rsid w:val="00A4474A"/>
    <w:rsid w:val="00AA1D8D"/>
    <w:rsid w:val="00B47730"/>
    <w:rsid w:val="00CB0664"/>
    <w:rsid w:val="00CB6380"/>
    <w:rsid w:val="00DB01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DD33EB"/>
  <w14:defaultImageDpi w14:val="300"/>
  <w15:docId w15:val="{D713EC5A-D082-45BF-85A3-D0E122EA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Ellihas Dhavis de Freitas</cp:lastModifiedBy>
  <cp:revision>4</cp:revision>
  <cp:lastPrinted>2025-03-26T13:40:00Z</cp:lastPrinted>
  <dcterms:created xsi:type="dcterms:W3CDTF">2013-12-23T23:15:00Z</dcterms:created>
  <dcterms:modified xsi:type="dcterms:W3CDTF">2025-03-26T13:42:00Z</dcterms:modified>
  <cp:category/>
</cp:coreProperties>
</file>