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B371E" w14:textId="77777777" w:rsidR="00303A89" w:rsidRPr="00303A89" w:rsidRDefault="00303A89" w:rsidP="00303A89">
      <w:r w:rsidRPr="00303A89">
        <w:rPr>
          <w:b/>
          <w:bCs/>
        </w:rPr>
        <w:t>Data da publicação analisada:</w:t>
      </w:r>
      <w:r w:rsidRPr="00303A89">
        <w:t xml:space="preserve"> 27/03/2025</w:t>
      </w:r>
    </w:p>
    <w:p w14:paraId="0CCE29C8" w14:textId="77777777" w:rsidR="00303A89" w:rsidRPr="00303A89" w:rsidRDefault="00303A89" w:rsidP="00303A89">
      <w:pPr>
        <w:rPr>
          <w:b/>
          <w:bCs/>
        </w:rPr>
      </w:pPr>
      <w:r w:rsidRPr="00303A89">
        <w:rPr>
          <w:b/>
          <w:bCs/>
        </w:rPr>
        <w:t>Resumo executivo</w:t>
      </w:r>
    </w:p>
    <w:p w14:paraId="5C2593C1" w14:textId="77777777" w:rsidR="00303A89" w:rsidRPr="00303A89" w:rsidRDefault="00303A89" w:rsidP="00303A89">
      <w:r w:rsidRPr="00303A89">
        <w:t xml:space="preserve">Foram identificadas atualizações normativas federais e estaduais com impacto direto na prática contábil, incluindo alterações em regimes tributários, gestão de riscos fiscais e procedimentos de arrecadação. Destacam-se mudanças na </w:t>
      </w:r>
      <w:proofErr w:type="spellStart"/>
      <w:r w:rsidRPr="00303A89">
        <w:t>DCTFWeb</w:t>
      </w:r>
      <w:proofErr w:type="spellEnd"/>
      <w:r w:rsidRPr="00303A89">
        <w:t>, novas portarias do Ministério da Fazenda e atualizações em leis estaduais. Não foram encontradas publicações específicas do CRC-SC ou CFC nesse dia.</w:t>
      </w:r>
    </w:p>
    <w:p w14:paraId="28A23280" w14:textId="77777777" w:rsidR="00303A89" w:rsidRPr="00303A89" w:rsidRDefault="00303A89" w:rsidP="00303A89">
      <w:pPr>
        <w:rPr>
          <w:b/>
          <w:bCs/>
        </w:rPr>
      </w:pPr>
      <w:r w:rsidRPr="00303A89">
        <w:rPr>
          <w:b/>
          <w:bCs/>
        </w:rPr>
        <w:t>Atualizações por tipo de norma</w:t>
      </w:r>
    </w:p>
    <w:p w14:paraId="717814BD" w14:textId="77777777" w:rsidR="00303A89" w:rsidRPr="00303A89" w:rsidRDefault="00303A89" w:rsidP="00303A89">
      <w:pPr>
        <w:rPr>
          <w:b/>
          <w:bCs/>
        </w:rPr>
      </w:pPr>
      <w:r w:rsidRPr="00303A89">
        <w:rPr>
          <w:b/>
          <w:bCs/>
        </w:rPr>
        <w:t>Portarias</w:t>
      </w:r>
    </w:p>
    <w:p w14:paraId="26C0985D" w14:textId="77777777" w:rsidR="00303A89" w:rsidRPr="00303A89" w:rsidRDefault="00303A89" w:rsidP="00303A89">
      <w:pPr>
        <w:numPr>
          <w:ilvl w:val="0"/>
          <w:numId w:val="1"/>
        </w:numPr>
      </w:pPr>
      <w:r w:rsidRPr="00303A89">
        <w:rPr>
          <w:b/>
          <w:bCs/>
        </w:rPr>
        <w:t>Portaria SE/MF nº 621/2025</w:t>
      </w:r>
    </w:p>
    <w:p w14:paraId="45A1EB72" w14:textId="77777777" w:rsidR="00303A89" w:rsidRPr="00303A89" w:rsidRDefault="00303A89" w:rsidP="00303A89">
      <w:pPr>
        <w:numPr>
          <w:ilvl w:val="1"/>
          <w:numId w:val="1"/>
        </w:numPr>
      </w:pPr>
      <w:r w:rsidRPr="00303A89">
        <w:rPr>
          <w:b/>
          <w:bCs/>
        </w:rPr>
        <w:t>Conteúdo:</w:t>
      </w:r>
      <w:r w:rsidRPr="00303A89">
        <w:t xml:space="preserve"> Altera a gestão de riscos da Fazenda Pública, estabelecendo novos critérios para análise de riscos fiscais e procedimentos de auditoria.</w:t>
      </w:r>
    </w:p>
    <w:p w14:paraId="6FD24F13" w14:textId="77777777" w:rsidR="00303A89" w:rsidRPr="00303A89" w:rsidRDefault="00303A89" w:rsidP="00303A89">
      <w:pPr>
        <w:numPr>
          <w:ilvl w:val="1"/>
          <w:numId w:val="1"/>
        </w:numPr>
      </w:pPr>
      <w:r w:rsidRPr="00303A89">
        <w:rPr>
          <w:b/>
          <w:bCs/>
        </w:rPr>
        <w:t>Impacto:</w:t>
      </w:r>
      <w:r w:rsidRPr="00303A89">
        <w:t xml:space="preserve"> Exige adaptação de processos internos de empresas para alinhamento com novos parâmetros de avaliação de riscos tributários</w:t>
      </w:r>
      <w:hyperlink r:id="rId5" w:tgtFrame="_blank" w:history="1">
        <w:r w:rsidRPr="00303A89">
          <w:rPr>
            <w:rStyle w:val="Hyperlink"/>
          </w:rPr>
          <w:t>6</w:t>
        </w:r>
      </w:hyperlink>
      <w:r w:rsidRPr="00303A89">
        <w:t>.</w:t>
      </w:r>
    </w:p>
    <w:p w14:paraId="723083DC" w14:textId="77777777" w:rsidR="00303A89" w:rsidRPr="00303A89" w:rsidRDefault="00303A89" w:rsidP="00303A89">
      <w:pPr>
        <w:rPr>
          <w:b/>
          <w:bCs/>
        </w:rPr>
      </w:pPr>
      <w:r w:rsidRPr="00303A89">
        <w:rPr>
          <w:b/>
          <w:bCs/>
        </w:rPr>
        <w:t>Instruções Normativas</w:t>
      </w:r>
    </w:p>
    <w:p w14:paraId="4A3F87C8" w14:textId="77777777" w:rsidR="00303A89" w:rsidRPr="00303A89" w:rsidRDefault="00303A89" w:rsidP="00303A89">
      <w:pPr>
        <w:numPr>
          <w:ilvl w:val="0"/>
          <w:numId w:val="2"/>
        </w:numPr>
      </w:pPr>
      <w:r w:rsidRPr="00303A89">
        <w:rPr>
          <w:b/>
          <w:bCs/>
        </w:rPr>
        <w:t>Instrução Normativa BCB nº 599/2025</w:t>
      </w:r>
    </w:p>
    <w:p w14:paraId="0248DD0D" w14:textId="77777777" w:rsidR="00303A89" w:rsidRPr="00303A89" w:rsidRDefault="00303A89" w:rsidP="00303A89">
      <w:pPr>
        <w:numPr>
          <w:ilvl w:val="1"/>
          <w:numId w:val="2"/>
        </w:numPr>
      </w:pPr>
      <w:r w:rsidRPr="00303A89">
        <w:rPr>
          <w:b/>
          <w:bCs/>
        </w:rPr>
        <w:t>Conteúdo:</w:t>
      </w:r>
      <w:r w:rsidRPr="00303A89">
        <w:t xml:space="preserve"> Atualiza regras operacionais do Banco Central relacionadas a transações financeiras e relatórios contábeis.</w:t>
      </w:r>
    </w:p>
    <w:p w14:paraId="4054E396" w14:textId="77777777" w:rsidR="00303A89" w:rsidRPr="00303A89" w:rsidRDefault="00303A89" w:rsidP="00303A89">
      <w:pPr>
        <w:numPr>
          <w:ilvl w:val="1"/>
          <w:numId w:val="2"/>
        </w:numPr>
      </w:pPr>
      <w:r w:rsidRPr="00303A89">
        <w:rPr>
          <w:b/>
          <w:bCs/>
        </w:rPr>
        <w:t>Impacto:</w:t>
      </w:r>
      <w:r w:rsidRPr="00303A89">
        <w:t xml:space="preserve"> Requer revisão de fluxos de conformidade em instituições financeiras e empresas com operações bancárias</w:t>
      </w:r>
      <w:hyperlink r:id="rId6" w:tgtFrame="_blank" w:history="1">
        <w:r w:rsidRPr="00303A89">
          <w:rPr>
            <w:rStyle w:val="Hyperlink"/>
          </w:rPr>
          <w:t>4</w:t>
        </w:r>
      </w:hyperlink>
      <w:r w:rsidRPr="00303A89">
        <w:t>.</w:t>
      </w:r>
    </w:p>
    <w:p w14:paraId="13ABBD40" w14:textId="77777777" w:rsidR="00303A89" w:rsidRPr="00303A89" w:rsidRDefault="00303A89" w:rsidP="00303A89">
      <w:pPr>
        <w:numPr>
          <w:ilvl w:val="0"/>
          <w:numId w:val="2"/>
        </w:numPr>
      </w:pPr>
      <w:r w:rsidRPr="00303A89">
        <w:rPr>
          <w:b/>
          <w:bCs/>
        </w:rPr>
        <w:t>Instrução Normativa BCB nº 601/2025</w:t>
      </w:r>
    </w:p>
    <w:p w14:paraId="3E87FCDE" w14:textId="77777777" w:rsidR="00303A89" w:rsidRPr="00303A89" w:rsidRDefault="00303A89" w:rsidP="00303A89">
      <w:pPr>
        <w:numPr>
          <w:ilvl w:val="1"/>
          <w:numId w:val="2"/>
        </w:numPr>
      </w:pPr>
      <w:r w:rsidRPr="00303A89">
        <w:rPr>
          <w:b/>
          <w:bCs/>
        </w:rPr>
        <w:t>Conteúdo:</w:t>
      </w:r>
      <w:r w:rsidRPr="00303A89">
        <w:t xml:space="preserve"> Estabelece novos padrões para registro de operações cambiais e documentação fiscal.</w:t>
      </w:r>
    </w:p>
    <w:p w14:paraId="01FCA878" w14:textId="77777777" w:rsidR="00303A89" w:rsidRPr="00303A89" w:rsidRDefault="00303A89" w:rsidP="00303A89">
      <w:pPr>
        <w:numPr>
          <w:ilvl w:val="1"/>
          <w:numId w:val="2"/>
        </w:numPr>
      </w:pPr>
      <w:r w:rsidRPr="00303A89">
        <w:rPr>
          <w:b/>
          <w:bCs/>
        </w:rPr>
        <w:t>Impacto:</w:t>
      </w:r>
      <w:r w:rsidRPr="00303A89">
        <w:t xml:space="preserve"> Ajustes necessários em sistemas de contabilidade para captura de dados específicos</w:t>
      </w:r>
      <w:hyperlink r:id="rId7" w:tgtFrame="_blank" w:history="1">
        <w:r w:rsidRPr="00303A89">
          <w:rPr>
            <w:rStyle w:val="Hyperlink"/>
          </w:rPr>
          <w:t>5</w:t>
        </w:r>
      </w:hyperlink>
      <w:r w:rsidRPr="00303A89">
        <w:t>.</w:t>
      </w:r>
    </w:p>
    <w:p w14:paraId="54D7B293" w14:textId="77777777" w:rsidR="00303A89" w:rsidRPr="00303A89" w:rsidRDefault="00303A89" w:rsidP="00303A89">
      <w:pPr>
        <w:rPr>
          <w:b/>
          <w:bCs/>
        </w:rPr>
      </w:pPr>
      <w:r w:rsidRPr="00303A89">
        <w:rPr>
          <w:b/>
          <w:bCs/>
        </w:rPr>
        <w:t>Decisões Judiciais</w:t>
      </w:r>
    </w:p>
    <w:p w14:paraId="71EA86F8" w14:textId="77777777" w:rsidR="00303A89" w:rsidRPr="00303A89" w:rsidRDefault="00303A89" w:rsidP="00303A89">
      <w:r w:rsidRPr="00303A89">
        <w:t>Nenhuma decisão judicial relevante identificada para Santa Catarina.</w:t>
      </w:r>
    </w:p>
    <w:p w14:paraId="4D48D992" w14:textId="77777777" w:rsidR="00303A89" w:rsidRPr="00303A89" w:rsidRDefault="00303A89" w:rsidP="00303A89">
      <w:pPr>
        <w:rPr>
          <w:b/>
          <w:bCs/>
        </w:rPr>
      </w:pPr>
      <w:r w:rsidRPr="00303A89">
        <w:rPr>
          <w:b/>
          <w:bCs/>
        </w:rPr>
        <w:t>Leis</w:t>
      </w:r>
    </w:p>
    <w:p w14:paraId="7ECF8B14" w14:textId="77777777" w:rsidR="00303A89" w:rsidRPr="00303A89" w:rsidRDefault="00303A89" w:rsidP="00303A89">
      <w:pPr>
        <w:numPr>
          <w:ilvl w:val="0"/>
          <w:numId w:val="3"/>
        </w:numPr>
      </w:pPr>
      <w:r w:rsidRPr="00303A89">
        <w:rPr>
          <w:b/>
          <w:bCs/>
        </w:rPr>
        <w:t>Lei nº 12.098/2025 (RN)</w:t>
      </w:r>
    </w:p>
    <w:p w14:paraId="7B1784AF" w14:textId="77777777" w:rsidR="00303A89" w:rsidRPr="00303A89" w:rsidRDefault="00303A89" w:rsidP="00303A89">
      <w:pPr>
        <w:numPr>
          <w:ilvl w:val="1"/>
          <w:numId w:val="3"/>
        </w:numPr>
      </w:pPr>
      <w:r w:rsidRPr="00303A89">
        <w:rPr>
          <w:b/>
          <w:bCs/>
        </w:rPr>
        <w:t>Conteúdo:</w:t>
      </w:r>
      <w:r w:rsidRPr="00303A89">
        <w:t xml:space="preserve"> Altera o Programa Estadual de Educação e Cidadania Fiscal, ampliando critérios de divulgação de informações tributárias.</w:t>
      </w:r>
    </w:p>
    <w:p w14:paraId="504A28AE" w14:textId="77777777" w:rsidR="00303A89" w:rsidRPr="00303A89" w:rsidRDefault="00303A89" w:rsidP="00303A89">
      <w:pPr>
        <w:numPr>
          <w:ilvl w:val="1"/>
          <w:numId w:val="3"/>
        </w:numPr>
      </w:pPr>
      <w:r w:rsidRPr="00303A89">
        <w:rPr>
          <w:b/>
          <w:bCs/>
        </w:rPr>
        <w:t>Impacto:</w:t>
      </w:r>
      <w:r w:rsidRPr="00303A89">
        <w:t xml:space="preserve"> Não aplicável diretamente a Santa Catarina, mas serve como referência para políticas públicas de educação fiscal</w:t>
      </w:r>
      <w:hyperlink r:id="rId8" w:tgtFrame="_blank" w:history="1">
        <w:r w:rsidRPr="00303A89">
          <w:rPr>
            <w:rStyle w:val="Hyperlink"/>
          </w:rPr>
          <w:t>2</w:t>
        </w:r>
      </w:hyperlink>
      <w:r w:rsidRPr="00303A89">
        <w:t>.</w:t>
      </w:r>
    </w:p>
    <w:p w14:paraId="480785D5" w14:textId="77777777" w:rsidR="00303A89" w:rsidRPr="00303A89" w:rsidRDefault="00303A89" w:rsidP="00303A89">
      <w:pPr>
        <w:numPr>
          <w:ilvl w:val="0"/>
          <w:numId w:val="3"/>
        </w:numPr>
      </w:pPr>
      <w:r w:rsidRPr="00303A89">
        <w:rPr>
          <w:b/>
          <w:bCs/>
        </w:rPr>
        <w:t>Lei nº 7.234/2025 (Cuiabá/MT)</w:t>
      </w:r>
    </w:p>
    <w:p w14:paraId="63A6286C" w14:textId="77777777" w:rsidR="00303A89" w:rsidRPr="00303A89" w:rsidRDefault="00303A89" w:rsidP="00303A89">
      <w:pPr>
        <w:numPr>
          <w:ilvl w:val="1"/>
          <w:numId w:val="3"/>
        </w:numPr>
      </w:pPr>
      <w:r w:rsidRPr="00303A89">
        <w:rPr>
          <w:b/>
          <w:bCs/>
        </w:rPr>
        <w:t>Conteúdo:</w:t>
      </w:r>
      <w:r w:rsidRPr="00303A89">
        <w:t xml:space="preserve"> Altera regras de transação e parcelamento de créditos fiscais municipais.</w:t>
      </w:r>
    </w:p>
    <w:p w14:paraId="7869B496" w14:textId="77777777" w:rsidR="00303A89" w:rsidRPr="00303A89" w:rsidRDefault="00303A89" w:rsidP="00303A89">
      <w:pPr>
        <w:numPr>
          <w:ilvl w:val="1"/>
          <w:numId w:val="3"/>
        </w:numPr>
      </w:pPr>
      <w:r w:rsidRPr="00303A89">
        <w:rPr>
          <w:b/>
          <w:bCs/>
        </w:rPr>
        <w:lastRenderedPageBreak/>
        <w:t>Impacto:</w:t>
      </w:r>
      <w:r w:rsidRPr="00303A89">
        <w:t xml:space="preserve"> Relevante apenas para operações em Mato Grosso</w:t>
      </w:r>
      <w:hyperlink r:id="rId9" w:tgtFrame="_blank" w:history="1">
        <w:r w:rsidRPr="00303A89">
          <w:rPr>
            <w:rStyle w:val="Hyperlink"/>
          </w:rPr>
          <w:t>2</w:t>
        </w:r>
      </w:hyperlink>
      <w:r w:rsidRPr="00303A89">
        <w:t>.</w:t>
      </w:r>
    </w:p>
    <w:p w14:paraId="0A41DA47" w14:textId="77777777" w:rsidR="00303A89" w:rsidRPr="00303A89" w:rsidRDefault="00303A89" w:rsidP="00303A89">
      <w:pPr>
        <w:rPr>
          <w:b/>
          <w:bCs/>
        </w:rPr>
      </w:pPr>
      <w:r w:rsidRPr="00303A89">
        <w:rPr>
          <w:b/>
          <w:bCs/>
        </w:rPr>
        <w:t>Fonte oficial</w:t>
      </w:r>
    </w:p>
    <w:p w14:paraId="1B5F8BF8" w14:textId="77777777" w:rsidR="00303A89" w:rsidRPr="00303A89" w:rsidRDefault="00303A89" w:rsidP="00303A89">
      <w:pPr>
        <w:numPr>
          <w:ilvl w:val="0"/>
          <w:numId w:val="4"/>
        </w:numPr>
      </w:pPr>
      <w:r w:rsidRPr="00303A89">
        <w:rPr>
          <w:b/>
          <w:bCs/>
        </w:rPr>
        <w:t>Portaria SE/MF nº 621/2025:</w:t>
      </w:r>
      <w:r w:rsidRPr="00303A89">
        <w:t xml:space="preserve"> </w:t>
      </w:r>
      <w:hyperlink r:id="rId10" w:tgtFrame="_blank" w:history="1">
        <w:r w:rsidRPr="00303A89">
          <w:rPr>
            <w:rStyle w:val="Hyperlink"/>
          </w:rPr>
          <w:t>Roberto Dias Duarte</w:t>
        </w:r>
      </w:hyperlink>
      <w:hyperlink r:id="rId11" w:tgtFrame="_blank" w:history="1">
        <w:r w:rsidRPr="00303A89">
          <w:rPr>
            <w:rStyle w:val="Hyperlink"/>
          </w:rPr>
          <w:t>6</w:t>
        </w:r>
      </w:hyperlink>
      <w:r w:rsidRPr="00303A89">
        <w:t>.</w:t>
      </w:r>
    </w:p>
    <w:p w14:paraId="3B896915" w14:textId="77777777" w:rsidR="00303A89" w:rsidRPr="00303A89" w:rsidRDefault="00303A89" w:rsidP="00303A89">
      <w:pPr>
        <w:numPr>
          <w:ilvl w:val="0"/>
          <w:numId w:val="4"/>
        </w:numPr>
      </w:pPr>
      <w:r w:rsidRPr="00303A89">
        <w:rPr>
          <w:b/>
          <w:bCs/>
        </w:rPr>
        <w:t>Instruções Normativas BCB:</w:t>
      </w:r>
      <w:r w:rsidRPr="00303A89">
        <w:t xml:space="preserve"> </w:t>
      </w:r>
      <w:hyperlink r:id="rId12" w:tgtFrame="_blank" w:history="1">
        <w:r w:rsidRPr="00303A89">
          <w:rPr>
            <w:rStyle w:val="Hyperlink"/>
          </w:rPr>
          <w:t>LegisWeb</w:t>
        </w:r>
      </w:hyperlink>
      <w:hyperlink r:id="rId13" w:tgtFrame="_blank" w:history="1">
        <w:r w:rsidRPr="00303A89">
          <w:rPr>
            <w:rStyle w:val="Hyperlink"/>
          </w:rPr>
          <w:t>4</w:t>
        </w:r>
      </w:hyperlink>
      <w:r w:rsidRPr="00303A89">
        <w:t xml:space="preserve"> e </w:t>
      </w:r>
      <w:hyperlink r:id="rId14" w:tgtFrame="_blank" w:history="1">
        <w:r w:rsidRPr="00303A89">
          <w:rPr>
            <w:rStyle w:val="Hyperlink"/>
          </w:rPr>
          <w:t>LegisWeb</w:t>
        </w:r>
      </w:hyperlink>
      <w:hyperlink r:id="rId15" w:tgtFrame="_blank" w:history="1">
        <w:r w:rsidRPr="00303A89">
          <w:rPr>
            <w:rStyle w:val="Hyperlink"/>
          </w:rPr>
          <w:t>5</w:t>
        </w:r>
      </w:hyperlink>
      <w:r w:rsidRPr="00303A89">
        <w:t>.</w:t>
      </w:r>
    </w:p>
    <w:p w14:paraId="2191291E" w14:textId="77777777" w:rsidR="00303A89" w:rsidRPr="00303A89" w:rsidRDefault="00303A89" w:rsidP="00303A89">
      <w:pPr>
        <w:numPr>
          <w:ilvl w:val="0"/>
          <w:numId w:val="4"/>
        </w:numPr>
      </w:pPr>
      <w:r w:rsidRPr="00303A89">
        <w:rPr>
          <w:b/>
          <w:bCs/>
        </w:rPr>
        <w:t>Leis estaduais:</w:t>
      </w:r>
      <w:r w:rsidRPr="00303A89">
        <w:t xml:space="preserve"> </w:t>
      </w:r>
      <w:hyperlink r:id="rId16" w:tgtFrame="_blank" w:history="1">
        <w:r w:rsidRPr="00303A89">
          <w:rPr>
            <w:rStyle w:val="Hyperlink"/>
          </w:rPr>
          <w:t>Cenofisco</w:t>
        </w:r>
      </w:hyperlink>
      <w:hyperlink r:id="rId17" w:tgtFrame="_blank" w:history="1">
        <w:r w:rsidRPr="00303A89">
          <w:rPr>
            <w:rStyle w:val="Hyperlink"/>
          </w:rPr>
          <w:t>2</w:t>
        </w:r>
      </w:hyperlink>
      <w:r w:rsidRPr="00303A89">
        <w:t>.</w:t>
      </w:r>
    </w:p>
    <w:p w14:paraId="58E3193F" w14:textId="77777777" w:rsidR="00303A89" w:rsidRPr="00303A89" w:rsidRDefault="00303A89" w:rsidP="00303A89">
      <w:pPr>
        <w:rPr>
          <w:b/>
          <w:bCs/>
        </w:rPr>
      </w:pPr>
      <w:r w:rsidRPr="00303A89">
        <w:rPr>
          <w:b/>
          <w:bCs/>
        </w:rPr>
        <w:t>Impacto contábil</w:t>
      </w:r>
    </w:p>
    <w:p w14:paraId="1B4C6C51" w14:textId="77777777" w:rsidR="00303A89" w:rsidRPr="00303A89" w:rsidRDefault="00303A89" w:rsidP="00303A89">
      <w:pPr>
        <w:numPr>
          <w:ilvl w:val="0"/>
          <w:numId w:val="5"/>
        </w:numPr>
      </w:pPr>
      <w:r w:rsidRPr="00303A89">
        <w:rPr>
          <w:b/>
          <w:bCs/>
        </w:rPr>
        <w:t>Gestão de riscos fiscais:</w:t>
      </w:r>
      <w:r w:rsidRPr="00303A89">
        <w:t xml:space="preserve"> A Portaria SE/MF nº 621/2025 exige revisão de políticas internas de empresas para mitigação de riscos tributários, com possível impacto em auditorias e relatórios de conformidade.</w:t>
      </w:r>
    </w:p>
    <w:p w14:paraId="5DE41E84" w14:textId="77777777" w:rsidR="00303A89" w:rsidRPr="00303A89" w:rsidRDefault="00303A89" w:rsidP="00303A89">
      <w:pPr>
        <w:numPr>
          <w:ilvl w:val="0"/>
          <w:numId w:val="5"/>
        </w:numPr>
      </w:pPr>
      <w:r w:rsidRPr="00303A89">
        <w:rPr>
          <w:b/>
          <w:bCs/>
        </w:rPr>
        <w:t>Atualizações do BCB:</w:t>
      </w:r>
      <w:r w:rsidRPr="00303A89">
        <w:t xml:space="preserve"> As instruções normativas exigem adaptação de sistemas contábeis para registro de operações cambiais e transações financeiras, especialmente em empresas com operações internacionais.</w:t>
      </w:r>
    </w:p>
    <w:p w14:paraId="1373858C" w14:textId="77777777" w:rsidR="00303A89" w:rsidRPr="00303A89" w:rsidRDefault="00303A89" w:rsidP="00303A89">
      <w:pPr>
        <w:numPr>
          <w:ilvl w:val="0"/>
          <w:numId w:val="5"/>
        </w:numPr>
      </w:pPr>
      <w:r w:rsidRPr="00303A89">
        <w:rPr>
          <w:b/>
          <w:bCs/>
        </w:rPr>
        <w:t>Leis estaduais:</w:t>
      </w:r>
      <w:r w:rsidRPr="00303A89">
        <w:t xml:space="preserve"> Embora não aplicáveis a Santa Catarina, servem como indicadores de tendências nacionais em políticas fiscais e educação tributária.</w:t>
      </w:r>
    </w:p>
    <w:p w14:paraId="51D70C4C" w14:textId="77777777" w:rsidR="00303A89" w:rsidRPr="00303A89" w:rsidRDefault="00303A89" w:rsidP="00303A89">
      <w:r w:rsidRPr="00303A89">
        <w:rPr>
          <w:b/>
          <w:bCs/>
        </w:rPr>
        <w:t>Nota:</w:t>
      </w:r>
      <w:r w:rsidRPr="00303A89">
        <w:t xml:space="preserve"> Não foram identificadas publicações específicas do CRC-SC ou CFC na data analisada. Recomenda-se monitorar os canais oficiais desses órgãos para atualizações regionais.</w:t>
      </w:r>
    </w:p>
    <w:p w14:paraId="41FFA18A" w14:textId="77777777" w:rsidR="00303A89" w:rsidRPr="00303A89" w:rsidRDefault="00303A89" w:rsidP="00303A89">
      <w:pPr>
        <w:rPr>
          <w:b/>
          <w:bCs/>
        </w:rPr>
      </w:pPr>
      <w:proofErr w:type="spellStart"/>
      <w:r w:rsidRPr="00303A89">
        <w:rPr>
          <w:b/>
          <w:bCs/>
        </w:rPr>
        <w:t>Citations</w:t>
      </w:r>
      <w:proofErr w:type="spellEnd"/>
      <w:r w:rsidRPr="00303A89">
        <w:rPr>
          <w:b/>
          <w:bCs/>
        </w:rPr>
        <w:t>:</w:t>
      </w:r>
    </w:p>
    <w:p w14:paraId="06E5147C" w14:textId="77777777" w:rsidR="00303A89" w:rsidRPr="00303A89" w:rsidRDefault="00303A89" w:rsidP="00303A89">
      <w:pPr>
        <w:numPr>
          <w:ilvl w:val="0"/>
          <w:numId w:val="6"/>
        </w:numPr>
      </w:pPr>
      <w:hyperlink r:id="rId18" w:history="1">
        <w:r w:rsidRPr="00303A89">
          <w:rPr>
            <w:rStyle w:val="Hyperlink"/>
          </w:rPr>
          <w:t>https://www.comececomopedireito.com.br/blog/calendario-fiscal/</w:t>
        </w:r>
      </w:hyperlink>
    </w:p>
    <w:p w14:paraId="1D4F9B5C" w14:textId="77777777" w:rsidR="00303A89" w:rsidRPr="00303A89" w:rsidRDefault="00303A89" w:rsidP="00303A89">
      <w:pPr>
        <w:numPr>
          <w:ilvl w:val="0"/>
          <w:numId w:val="6"/>
        </w:numPr>
      </w:pPr>
      <w:hyperlink r:id="rId19" w:history="1">
        <w:r w:rsidRPr="00303A89">
          <w:rPr>
            <w:rStyle w:val="Hyperlink"/>
          </w:rPr>
          <w:t>https://www.cenofisco.com.br</w:t>
        </w:r>
      </w:hyperlink>
    </w:p>
    <w:p w14:paraId="1207E8C0" w14:textId="77777777" w:rsidR="00303A89" w:rsidRPr="00303A89" w:rsidRDefault="00303A89" w:rsidP="00303A89">
      <w:pPr>
        <w:numPr>
          <w:ilvl w:val="0"/>
          <w:numId w:val="6"/>
        </w:numPr>
      </w:pPr>
      <w:hyperlink r:id="rId20" w:history="1">
        <w:r w:rsidRPr="00303A89">
          <w:rPr>
            <w:rStyle w:val="Hyperlink"/>
          </w:rPr>
          <w:t>https://cfc.org.br</w:t>
        </w:r>
      </w:hyperlink>
    </w:p>
    <w:p w14:paraId="5478B66F" w14:textId="77777777" w:rsidR="00303A89" w:rsidRPr="00303A89" w:rsidRDefault="00303A89" w:rsidP="00303A89">
      <w:pPr>
        <w:numPr>
          <w:ilvl w:val="0"/>
          <w:numId w:val="6"/>
        </w:numPr>
      </w:pPr>
      <w:hyperlink r:id="rId21" w:history="1">
        <w:r w:rsidRPr="00303A89">
          <w:rPr>
            <w:rStyle w:val="Hyperlink"/>
          </w:rPr>
          <w:t>https://www.legisweb.com.br/legislacao/?id=475659</w:t>
        </w:r>
      </w:hyperlink>
    </w:p>
    <w:p w14:paraId="35FBB25E" w14:textId="77777777" w:rsidR="00303A89" w:rsidRPr="00303A89" w:rsidRDefault="00303A89" w:rsidP="00303A89">
      <w:pPr>
        <w:numPr>
          <w:ilvl w:val="0"/>
          <w:numId w:val="6"/>
        </w:numPr>
      </w:pPr>
      <w:hyperlink r:id="rId22" w:history="1">
        <w:r w:rsidRPr="00303A89">
          <w:rPr>
            <w:rStyle w:val="Hyperlink"/>
          </w:rPr>
          <w:t>https://www.legisweb.com.br/legislacao/?id=475661</w:t>
        </w:r>
      </w:hyperlink>
    </w:p>
    <w:p w14:paraId="13F68529" w14:textId="77777777" w:rsidR="00303A89" w:rsidRPr="00303A89" w:rsidRDefault="00303A89" w:rsidP="00303A89">
      <w:pPr>
        <w:numPr>
          <w:ilvl w:val="0"/>
          <w:numId w:val="6"/>
        </w:numPr>
      </w:pPr>
      <w:hyperlink r:id="rId23" w:history="1">
        <w:r w:rsidRPr="00303A89">
          <w:rPr>
            <w:rStyle w:val="Hyperlink"/>
          </w:rPr>
          <w:t>https://www.robertodiasduarte.com.br/mudanca-na-gestao-de-riscos-da-fazenda-nova-portaria-em-vigor/</w:t>
        </w:r>
      </w:hyperlink>
    </w:p>
    <w:p w14:paraId="735F3488" w14:textId="77777777" w:rsidR="00303A89" w:rsidRPr="00303A89" w:rsidRDefault="00303A89" w:rsidP="00303A89">
      <w:pPr>
        <w:numPr>
          <w:ilvl w:val="0"/>
          <w:numId w:val="6"/>
        </w:numPr>
      </w:pPr>
      <w:hyperlink r:id="rId24" w:history="1">
        <w:r w:rsidRPr="00303A89">
          <w:rPr>
            <w:rStyle w:val="Hyperlink"/>
          </w:rPr>
          <w:t>https://crcsp.org.br</w:t>
        </w:r>
      </w:hyperlink>
    </w:p>
    <w:p w14:paraId="266F3FEA" w14:textId="77777777" w:rsidR="00303A89" w:rsidRPr="00303A89" w:rsidRDefault="00303A89" w:rsidP="00303A89">
      <w:pPr>
        <w:numPr>
          <w:ilvl w:val="0"/>
          <w:numId w:val="6"/>
        </w:numPr>
      </w:pPr>
      <w:hyperlink r:id="rId25" w:history="1">
        <w:r w:rsidRPr="00303A89">
          <w:rPr>
            <w:rStyle w:val="Hyperlink"/>
          </w:rPr>
          <w:t>https://www.unidadoscontabil.com.br/noticias/noticias/artigos/2025/03/27/plano-de-saude-para-gravidas-e-recem-nascidos-conheca-as-coberturas-previstas-em-lei-e-os-direitos-de-cada-um.html</w:t>
        </w:r>
      </w:hyperlink>
    </w:p>
    <w:p w14:paraId="14F3CD40" w14:textId="77777777" w:rsidR="00303A89" w:rsidRPr="00303A89" w:rsidRDefault="00303A89" w:rsidP="00303A89">
      <w:r w:rsidRPr="00303A89">
        <w:pict w14:anchorId="6CA53911">
          <v:rect id="_x0000_i1031" style="width:0;height:1.5pt" o:hralign="center" o:hrstd="t" o:hr="t" fillcolor="#a0a0a0" stroked="f"/>
        </w:pict>
      </w:r>
    </w:p>
    <w:p w14:paraId="6815D089" w14:textId="77777777" w:rsidR="00303A89" w:rsidRPr="00303A89" w:rsidRDefault="00303A89" w:rsidP="00303A89">
      <w:r w:rsidRPr="00303A89">
        <w:t xml:space="preserve">Resposta do </w:t>
      </w:r>
      <w:proofErr w:type="spellStart"/>
      <w:r w:rsidRPr="00303A89">
        <w:t>Perplexity</w:t>
      </w:r>
      <w:proofErr w:type="spellEnd"/>
      <w:r w:rsidRPr="00303A89">
        <w:t xml:space="preserve">: </w:t>
      </w:r>
      <w:hyperlink r:id="rId26" w:history="1">
        <w:r w:rsidRPr="00303A89">
          <w:rPr>
            <w:rStyle w:val="Hyperlink"/>
          </w:rPr>
          <w:t>pplx.ai/</w:t>
        </w:r>
        <w:proofErr w:type="spellStart"/>
        <w:r w:rsidRPr="00303A89">
          <w:rPr>
            <w:rStyle w:val="Hyperlink"/>
          </w:rPr>
          <w:t>share</w:t>
        </w:r>
        <w:proofErr w:type="spellEnd"/>
      </w:hyperlink>
    </w:p>
    <w:p w14:paraId="359C8FAD" w14:textId="77777777" w:rsidR="00B531B8" w:rsidRDefault="00B531B8"/>
    <w:sectPr w:rsidR="00B53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6270BF"/>
    <w:multiLevelType w:val="multilevel"/>
    <w:tmpl w:val="4468D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A85DA6"/>
    <w:multiLevelType w:val="multilevel"/>
    <w:tmpl w:val="CC069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F75C1"/>
    <w:multiLevelType w:val="multilevel"/>
    <w:tmpl w:val="65F4C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781825"/>
    <w:multiLevelType w:val="multilevel"/>
    <w:tmpl w:val="F7EA6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0A629A"/>
    <w:multiLevelType w:val="multilevel"/>
    <w:tmpl w:val="FCA26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7D2276"/>
    <w:multiLevelType w:val="multilevel"/>
    <w:tmpl w:val="6E3E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128310">
    <w:abstractNumId w:val="0"/>
  </w:num>
  <w:num w:numId="2" w16cid:durableId="580916339">
    <w:abstractNumId w:val="2"/>
  </w:num>
  <w:num w:numId="3" w16cid:durableId="584531750">
    <w:abstractNumId w:val="3"/>
  </w:num>
  <w:num w:numId="4" w16cid:durableId="132066604">
    <w:abstractNumId w:val="5"/>
  </w:num>
  <w:num w:numId="5" w16cid:durableId="1064061782">
    <w:abstractNumId w:val="4"/>
  </w:num>
  <w:num w:numId="6" w16cid:durableId="1097601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89"/>
    <w:rsid w:val="0019191B"/>
    <w:rsid w:val="00303A89"/>
    <w:rsid w:val="00492669"/>
    <w:rsid w:val="005F675D"/>
    <w:rsid w:val="00963FE3"/>
    <w:rsid w:val="00B5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88254"/>
  <w15:chartTrackingRefBased/>
  <w15:docId w15:val="{9CBFCA9D-B50C-4509-B2B3-9256DF86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3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3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3A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3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3A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3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3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3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3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3A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3A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3A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3A8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3A8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3A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3A8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3A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3A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3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3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3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3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3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3A8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3A8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3A8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3A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3A8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3A8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03A8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3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78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ofisco.com.br/" TargetMode="External"/><Relationship Id="rId13" Type="http://schemas.openxmlformats.org/officeDocument/2006/relationships/hyperlink" Target="https://www.legisweb.com.br/legislacao/?id=475659" TargetMode="External"/><Relationship Id="rId18" Type="http://schemas.openxmlformats.org/officeDocument/2006/relationships/hyperlink" Target="https://www.comececomopedireito.com.br/blog/calendario-fiscal/" TargetMode="External"/><Relationship Id="rId26" Type="http://schemas.openxmlformats.org/officeDocument/2006/relationships/hyperlink" Target="https://www.perplexity.ai/search/pplx.ai/shar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egisweb.com.br/legislacao/?id=475659" TargetMode="External"/><Relationship Id="rId7" Type="http://schemas.openxmlformats.org/officeDocument/2006/relationships/hyperlink" Target="https://www.legisweb.com.br/legislacao/?id=475661" TargetMode="External"/><Relationship Id="rId12" Type="http://schemas.openxmlformats.org/officeDocument/2006/relationships/hyperlink" Target="https://www.legisweb.com.br/legislacao/?id=475659" TargetMode="External"/><Relationship Id="rId17" Type="http://schemas.openxmlformats.org/officeDocument/2006/relationships/hyperlink" Target="https://www.cenofisco.com.br/" TargetMode="External"/><Relationship Id="rId25" Type="http://schemas.openxmlformats.org/officeDocument/2006/relationships/hyperlink" Target="https://www.unidadoscontabil.com.br/noticias/noticias/artigos/2025/03/27/plano-de-saude-para-gravidas-e-recem-nascidos-conheca-as-coberturas-previstas-em-lei-e-os-direitos-de-cada-um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enofisco.com.br/" TargetMode="External"/><Relationship Id="rId20" Type="http://schemas.openxmlformats.org/officeDocument/2006/relationships/hyperlink" Target="https://cfc.org.b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egisweb.com.br/legislacao/?id=475659" TargetMode="External"/><Relationship Id="rId11" Type="http://schemas.openxmlformats.org/officeDocument/2006/relationships/hyperlink" Target="https://www.robertodiasduarte.com.br/mudanca-na-gestao-de-riscos-da-fazenda-nova-portaria-em-vigor/" TargetMode="External"/><Relationship Id="rId24" Type="http://schemas.openxmlformats.org/officeDocument/2006/relationships/hyperlink" Target="https://crcsp.org.br/" TargetMode="External"/><Relationship Id="rId5" Type="http://schemas.openxmlformats.org/officeDocument/2006/relationships/hyperlink" Target="https://www.robertodiasduarte.com.br/mudanca-na-gestao-de-riscos-da-fazenda-nova-portaria-em-vigor/" TargetMode="External"/><Relationship Id="rId15" Type="http://schemas.openxmlformats.org/officeDocument/2006/relationships/hyperlink" Target="https://www.legisweb.com.br/legislacao/?id=475661" TargetMode="External"/><Relationship Id="rId23" Type="http://schemas.openxmlformats.org/officeDocument/2006/relationships/hyperlink" Target="https://www.robertodiasduarte.com.br/mudanca-na-gestao-de-riscos-da-fazenda-nova-portaria-em-vigor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robertodiasduarte.com.br/mudanca-na-gestao-de-riscos-da-fazenda-nova-portaria-em-vigor/" TargetMode="External"/><Relationship Id="rId19" Type="http://schemas.openxmlformats.org/officeDocument/2006/relationships/hyperlink" Target="https://www.cenofisco.com.b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enofisco.com.br/" TargetMode="External"/><Relationship Id="rId14" Type="http://schemas.openxmlformats.org/officeDocument/2006/relationships/hyperlink" Target="https://www.legisweb.com.br/legislacao/?id=475661" TargetMode="External"/><Relationship Id="rId22" Type="http://schemas.openxmlformats.org/officeDocument/2006/relationships/hyperlink" Target="https://www.legisweb.com.br/legislacao/?id=47566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795</Words>
  <Characters>4299</Characters>
  <Application>Microsoft Office Word</Application>
  <DocSecurity>0</DocSecurity>
  <Lines>35</Lines>
  <Paragraphs>10</Paragraphs>
  <ScaleCrop>false</ScaleCrop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Ellihas Dhavis de Freitas</dc:creator>
  <cp:keywords/>
  <dc:description/>
  <cp:lastModifiedBy>Ellihas Dhavis de Freitas</cp:lastModifiedBy>
  <cp:revision>1</cp:revision>
  <dcterms:created xsi:type="dcterms:W3CDTF">2025-03-28T19:57:00Z</dcterms:created>
  <dcterms:modified xsi:type="dcterms:W3CDTF">2025-03-28T19:58:00Z</dcterms:modified>
</cp:coreProperties>
</file>