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3564C" w14:textId="77777777" w:rsidR="00000000" w:rsidRDefault="00000000">
      <w:pPr>
        <w:pStyle w:val="Palestras-Ttulo"/>
        <w:rPr>
          <w:snapToGrid w:val="0"/>
        </w:rPr>
      </w:pPr>
      <w:r>
        <w:rPr>
          <w:snapToGrid w:val="0"/>
        </w:rPr>
        <w:fldChar w:fldCharType="begin"/>
      </w:r>
      <w:r>
        <w:rPr>
          <w:snapToGrid w:val="0"/>
        </w:rPr>
        <w:instrText xml:space="preserve"> FILENAME </w:instrText>
      </w:r>
      <w:r>
        <w:rPr>
          <w:snapToGrid w:val="0"/>
        </w:rPr>
        <w:fldChar w:fldCharType="separate"/>
      </w:r>
      <w:r>
        <w:rPr>
          <w:noProof/>
          <w:snapToGrid w:val="0"/>
        </w:rPr>
        <w:t>Código de Defesa do Consumidor e o Novo Código Civil (Temas Limítrofes)</w:t>
      </w:r>
      <w:r>
        <w:rPr>
          <w:snapToGrid w:val="0"/>
        </w:rPr>
        <w:fldChar w:fldCharType="end"/>
      </w:r>
    </w:p>
    <w:p w14:paraId="14D2681F" w14:textId="77777777" w:rsidR="00000000" w:rsidRDefault="00000000">
      <w:pPr>
        <w:pStyle w:val="Palestras-Ttulo"/>
      </w:pPr>
    </w:p>
    <w:p w14:paraId="66F11DD0" w14:textId="77777777" w:rsidR="00000000" w:rsidRDefault="00000000">
      <w:pPr>
        <w:pStyle w:val="Palestras-Captulo"/>
      </w:pPr>
      <w:r>
        <w:t>Introdução</w:t>
      </w:r>
    </w:p>
    <w:p w14:paraId="4B11A960" w14:textId="77777777" w:rsidR="00000000" w:rsidRDefault="00000000">
      <w:pPr>
        <w:pStyle w:val="Palestras"/>
      </w:pPr>
    </w:p>
    <w:p w14:paraId="7F9BA887" w14:textId="77777777" w:rsidR="00000000" w:rsidRDefault="00000000">
      <w:pPr>
        <w:pStyle w:val="Palestras"/>
      </w:pPr>
      <w:r>
        <w:t>O sistema jurídico do Brasil é fruto de um passado colonialista e de uma cultura permeável às idéias e conceitos oriundos do Direito estrangeiro.</w:t>
      </w:r>
    </w:p>
    <w:p w14:paraId="119D4F63" w14:textId="77777777" w:rsidR="00000000" w:rsidRDefault="00000000">
      <w:pPr>
        <w:pStyle w:val="Palestras"/>
      </w:pPr>
      <w:r>
        <w:t>A tendência não se modificou, quando da modernização do País, com a adoção de microssistemas especiais.</w:t>
      </w:r>
    </w:p>
    <w:p w14:paraId="5AFB44AE" w14:textId="77777777" w:rsidR="00000000" w:rsidRDefault="00000000">
      <w:pPr>
        <w:pStyle w:val="Palestras"/>
      </w:pPr>
      <w:r>
        <w:t>Assim, o Direito Civil, que é o direito dos iguais, dos homens livres e dos fraternos, herdou um forte embasamento do Direito francês e, com essa tendência, abriu as portas à modernidade.</w:t>
      </w:r>
    </w:p>
    <w:p w14:paraId="7486BE7E" w14:textId="77777777" w:rsidR="00000000" w:rsidRDefault="00000000">
      <w:pPr>
        <w:pStyle w:val="Palestras"/>
      </w:pPr>
      <w:r>
        <w:t>Na concepção moderna, temos o Estado na sua clássica divisão de poderes, em que as normas são editadas de forma rígida, fechada e exclusiva, com o propósito de deixar contido no regramento estatal tudo que possa ocorrer na sociedade. É a plenitude do ordenamento jurídico de que falava Kelsen.</w:t>
      </w:r>
    </w:p>
    <w:p w14:paraId="7046EE91" w14:textId="77777777" w:rsidR="00000000" w:rsidRDefault="00000000">
      <w:pPr>
        <w:pStyle w:val="Palestras"/>
      </w:pPr>
      <w:r>
        <w:t>Dentro desse contexto, cabe ao Estado-Juiz dizer o direito posto, porque é ele, o juiz, a “boca da Lei”.</w:t>
      </w:r>
    </w:p>
    <w:p w14:paraId="6C3B282F" w14:textId="77777777" w:rsidR="00000000" w:rsidRDefault="00000000">
      <w:pPr>
        <w:pStyle w:val="Palestras"/>
      </w:pPr>
      <w:r>
        <w:t>A visão tripartite do Estado é moderna, civilizada e democrática, herdada da Revolução Francesa, mas o modelo entrou em crise no final do século XX, cedendo lugar a um ceticismo sem precedentes.</w:t>
      </w:r>
    </w:p>
    <w:p w14:paraId="3481887D" w14:textId="77777777" w:rsidR="00000000" w:rsidRDefault="00000000">
      <w:pPr>
        <w:pStyle w:val="Palestras"/>
      </w:pPr>
      <w:r>
        <w:t>A questão maior foi a descrença de que a ciência jurídica seria capaz de construir um sistema normativo com respostas adequadas à solução dos problemas sociais, em uma sociedade que sofre as agruras de uma absurda concentração de renda que gera uma incômoda e quase insuportável exclusão social.</w:t>
      </w:r>
    </w:p>
    <w:p w14:paraId="685DEF29" w14:textId="77777777" w:rsidR="00000000" w:rsidRDefault="00000000">
      <w:pPr>
        <w:pStyle w:val="Palestras"/>
      </w:pPr>
      <w:r>
        <w:lastRenderedPageBreak/>
        <w:t>Aliada aos problemas sociais, a assustadora velocidade da vida leva à superação das certezas de ontem, com informações prestadas, quase imediatas, põe em cheque as verdades de hoje e põe em dúvida os caminhos do amanhã. Nesta fase tudo leva a um comportamento que valoriza o abstrato, o transitório, o lazer, os serviços, em uma tendência que não mais se acomoda no figurino da modernidade herdado da Revolução Francesa.</w:t>
      </w:r>
    </w:p>
    <w:p w14:paraId="76ACEA3B" w14:textId="77777777" w:rsidR="00000000" w:rsidRDefault="00000000">
      <w:pPr>
        <w:pStyle w:val="Palestras"/>
      </w:pPr>
      <w:r>
        <w:t>A tendência veloz rompe com a modernidade, implode o direito posto e inaugura a era da pós-modernidade, com valores e referenciais inteiramente novos, quebrando-se os paradigmas do ordenamento jurídico.</w:t>
      </w:r>
    </w:p>
    <w:p w14:paraId="62A2E0AD" w14:textId="77777777" w:rsidR="00000000" w:rsidRDefault="00000000">
      <w:pPr>
        <w:pStyle w:val="Palestras"/>
      </w:pPr>
      <w:r>
        <w:t>Dentro da visão da pós-modernidade, procura-se estabelecer novos valores, novos princípios e o direito dos iguais e dos fraternos, o Direito Civil, passa a sofrer uma profunda influência do Direito Público.</w:t>
      </w:r>
    </w:p>
    <w:p w14:paraId="1D9247CF" w14:textId="77777777" w:rsidR="00000000" w:rsidRDefault="00000000">
      <w:pPr>
        <w:pStyle w:val="Palestras"/>
      </w:pPr>
      <w:r>
        <w:t>Afinal, a sedimentação dos direitos fundamentais e a questão da liberdade individual, com o surgimento de novas e diferentes necessidades, transformadas em direitos individuais, passam a ser a pedra de toque do direcionamento político.</w:t>
      </w:r>
    </w:p>
    <w:p w14:paraId="0FD98673" w14:textId="77777777" w:rsidR="00000000" w:rsidRDefault="00000000">
      <w:pPr>
        <w:pStyle w:val="Palestras"/>
      </w:pPr>
      <w:r>
        <w:t>Abre-se um campo profícuo para a valorização da transparência, da verdade, da sinceridade, com ênfase aos laços fraternos. Abandona-se a igualdade formal da Revolução Francesa, a igualdade substancial que marcou o final da era da modernidade, porque o importante não é a igualdade, e sim a eqüidade. O Estado do bem-estar social está em crise e mergulha no ceticismo do vazio, das soluções individualistas e da insegurança jurídica, convivendo com o pluralismo de fontes legislativas, implodindo os sistemas genéricos normativos.</w:t>
      </w:r>
    </w:p>
    <w:p w14:paraId="2707B0BC" w14:textId="77777777" w:rsidR="00000000" w:rsidRDefault="00000000">
      <w:pPr>
        <w:pStyle w:val="Palestras"/>
      </w:pPr>
      <w:r>
        <w:lastRenderedPageBreak/>
        <w:t>Assim, o Direito Civil já não é mais tão privado e o Direito Público, tão político e público pela mescla de interesses em ambas as esferas.</w:t>
      </w:r>
    </w:p>
    <w:p w14:paraId="6D13F6A8" w14:textId="77777777" w:rsidR="00000000" w:rsidRDefault="00000000">
      <w:pPr>
        <w:pStyle w:val="Palestras"/>
      </w:pPr>
      <w:r>
        <w:t>É dentro desse panorama provocado pelos ares da Constituição de 1988 que surge um dos mais modernos instrumentos legislativos, o Código de Defesa do Consumidor.</w:t>
      </w:r>
    </w:p>
    <w:p w14:paraId="31EA8D7C" w14:textId="77777777" w:rsidR="00000000" w:rsidRDefault="00000000">
      <w:pPr>
        <w:pStyle w:val="Palestras-Captulo"/>
      </w:pPr>
      <w:r>
        <w:t>O Código de Defesa do Consumidor</w:t>
      </w:r>
    </w:p>
    <w:p w14:paraId="0E428AAB" w14:textId="77777777" w:rsidR="00000000" w:rsidRDefault="00000000">
      <w:pPr>
        <w:pStyle w:val="Palestras"/>
      </w:pPr>
    </w:p>
    <w:p w14:paraId="29CE7393" w14:textId="77777777" w:rsidR="00000000" w:rsidRDefault="00000000">
      <w:pPr>
        <w:pStyle w:val="Palestras"/>
      </w:pPr>
      <w:r>
        <w:t>Como produto da pós-modernidade, provocou o Código de Defesa do Consumidor uma implosão na Teoria Geral dos Contratos de tal ordem que, passados mais de dez anos de sua existência, ainda há resistência e um certo desconhecimento das diretrizes desse microssistema.</w:t>
      </w:r>
    </w:p>
    <w:p w14:paraId="7034A3BE" w14:textId="77777777" w:rsidR="00000000" w:rsidRDefault="00000000">
      <w:pPr>
        <w:pStyle w:val="Palestras"/>
      </w:pPr>
      <w:r>
        <w:t>Não se tem mais dúvida de que o CDC é uma arma garantidora dos direitos de cidadania na esfera das relações de consumo, até então regradas pelo Código Civil de 1916.</w:t>
      </w:r>
    </w:p>
    <w:p w14:paraId="2E7AABF5" w14:textId="77777777" w:rsidR="00000000" w:rsidRDefault="00000000">
      <w:pPr>
        <w:pStyle w:val="Palestras"/>
      </w:pPr>
      <w:r>
        <w:t>E, para que se possa entender bem este instrumento de pós-modernidade, é necessário que não se veja nele um substitutivo moderno do Código Civil, mas o seu complemento a reger, especificamente, as relações de consumo numa economia cada vez mais sofisticada e oligopolizada.</w:t>
      </w:r>
    </w:p>
    <w:p w14:paraId="33239A1D" w14:textId="77777777" w:rsidR="00000000" w:rsidRDefault="00000000">
      <w:pPr>
        <w:pStyle w:val="Palestras"/>
      </w:pPr>
      <w:r>
        <w:t>Trata-se de sistema jurídico inteiramente novo, no qual se podem fazer os seguintes destaques:</w:t>
      </w:r>
    </w:p>
    <w:p w14:paraId="77DC28A4" w14:textId="77777777" w:rsidR="00000000" w:rsidRDefault="00000000">
      <w:pPr>
        <w:pStyle w:val="Palestras"/>
      </w:pPr>
      <w:r>
        <w:t>1) inovação da técnica legislativa, definindo concretamente os seus objetivos, baseados nas diretivas políticas constantes dos arts. 5º. XXXII e 170 da CF/88, conforme explicitado no art. 4º do Código.</w:t>
      </w:r>
    </w:p>
    <w:p w14:paraId="5410212D" w14:textId="77777777" w:rsidR="00000000" w:rsidRDefault="00000000">
      <w:pPr>
        <w:pStyle w:val="Palestras"/>
      </w:pPr>
      <w:r>
        <w:lastRenderedPageBreak/>
        <w:t>No passado, somente pela Exposição de Motivos era possível saber o intérprete quais as razões políticas que alicerçaram a produção legislativa;</w:t>
      </w:r>
    </w:p>
    <w:p w14:paraId="09D59018" w14:textId="77777777" w:rsidR="00000000" w:rsidRDefault="00000000">
      <w:pPr>
        <w:pStyle w:val="Palestras"/>
      </w:pPr>
      <w:r>
        <w:t>2) adoção de linguagem menos jurídica e mais setorial. É o caso do termo “hipossuficiente”, usado menos em sentido jurídico e mais no sentido econômico, dando conotação de deficiência econômica, cultural, técnica, enfim, as características de consumidor em contraposição ao fornecedor;</w:t>
      </w:r>
    </w:p>
    <w:p w14:paraId="6105ACE7" w14:textId="77777777" w:rsidR="00000000" w:rsidRDefault="00000000">
      <w:pPr>
        <w:pStyle w:val="Palestras"/>
      </w:pPr>
      <w:r>
        <w:t>3) apresentação do novo papel do legislador, pois a norma procura mostrar e oportunizar as vantagens de sua aplicação aos destinatários. Assim, a regra do inciso VIII do artigo 6º consagra a inversão do ônus da prova em favor do consumidor;</w:t>
      </w:r>
    </w:p>
    <w:p w14:paraId="31C6FEFF" w14:textId="77777777" w:rsidR="00000000" w:rsidRDefault="00000000">
      <w:pPr>
        <w:pStyle w:val="Palestras"/>
      </w:pPr>
      <w:r>
        <w:t xml:space="preserve">4) o princípio da boa-fé, prestigiado no Projeto Reale do Código Civil, é no CDC a pedra de toque na proteção do consumidor, abrandando a estrutura rígida do contrato tradicional, fincado sob o princípio </w:t>
      </w:r>
      <w:r>
        <w:rPr>
          <w:i/>
        </w:rPr>
        <w:t>pacta sunt servanda</w:t>
      </w:r>
      <w:r>
        <w:t xml:space="preserve"> – autonomia da vontade. Além disso, sedimenta o princípio da boa-fé objetiva, que ganhou dimensão a partir da CF/88;</w:t>
      </w:r>
    </w:p>
    <w:p w14:paraId="3A3157C0" w14:textId="77777777" w:rsidR="00000000" w:rsidRDefault="00000000">
      <w:pPr>
        <w:pStyle w:val="Palestras"/>
      </w:pPr>
      <w:r>
        <w:t>5) as relações contratuais, quase sempre bilaterais, passam a ser pluralistas, abrigando terceiras pessoas, inclusive os terceiros voluntários e os terceiros acidentais, pela cadeia formada pela responsabilidade objetiva de todos os componentes da relação. Temos pluralidade de vínculos em um só contrato.</w:t>
      </w:r>
    </w:p>
    <w:p w14:paraId="120035CC" w14:textId="77777777" w:rsidR="00000000" w:rsidRDefault="00000000">
      <w:pPr>
        <w:pStyle w:val="Palestras"/>
      </w:pPr>
      <w:r>
        <w:t>Os destaques analíticos são meramente exemplificativos e servem para sedimentar a realização de uma determinação política, contida no art. 48 do ADCT, a qual sinalizava para que se fizesse um Código de Defesa do Consumidor, cumprindo-se, assim, um dos direitos fundamentais do art. 5º da CF/88 : “XXXII - O Estado promoverá, na forma da lei, a defesa do consumidor.”</w:t>
      </w:r>
    </w:p>
    <w:p w14:paraId="2D1C8CCE" w14:textId="77777777" w:rsidR="00000000" w:rsidRDefault="00000000">
      <w:pPr>
        <w:pStyle w:val="Palestras-Captulo"/>
      </w:pPr>
      <w:r>
        <w:lastRenderedPageBreak/>
        <w:t>O Código Civil</w:t>
      </w:r>
    </w:p>
    <w:p w14:paraId="3B528F6E" w14:textId="77777777" w:rsidR="00000000" w:rsidRDefault="00000000">
      <w:pPr>
        <w:pStyle w:val="Palestras"/>
      </w:pPr>
    </w:p>
    <w:p w14:paraId="69554B92" w14:textId="77777777" w:rsidR="00000000" w:rsidRDefault="00000000">
      <w:pPr>
        <w:pStyle w:val="Palestras"/>
      </w:pPr>
      <w:r>
        <w:t xml:space="preserve">O Código Civil de 1916 teima em não desaparecer, mesmo quando já aprovada e em período de </w:t>
      </w:r>
      <w:r>
        <w:rPr>
          <w:i/>
        </w:rPr>
        <w:t>vacatio legis</w:t>
      </w:r>
      <w:r>
        <w:t xml:space="preserve"> a Lei 10.406/02, falando-se até mesmo no adiamento da entrada em vigor do novo diploma civil. Mas qual a razão da resistência?</w:t>
      </w:r>
    </w:p>
    <w:p w14:paraId="08410D5D" w14:textId="77777777" w:rsidR="00000000" w:rsidRDefault="00000000">
      <w:pPr>
        <w:pStyle w:val="Palestras"/>
      </w:pPr>
      <w:r>
        <w:t>Uma parece-me óbvia: o Código Civil de 1916 foi obra de dois gênios. Um gênio jurista, Clóvis Beviláqua, que o elaborou, e um outro gênio, no Legislativo, que conduziu a sua aprovação – Ruy Barbosa.</w:t>
      </w:r>
    </w:p>
    <w:p w14:paraId="42AA5CC9" w14:textId="77777777" w:rsidR="00000000" w:rsidRDefault="00000000">
      <w:pPr>
        <w:pStyle w:val="Palestras"/>
      </w:pPr>
      <w:r>
        <w:t>O Código em espera, em verdade, não foi capaz de avançar na disciplina dos institutos, tornando-se óbvio demais para o futuro e, o que é pior, sem querer ter com o amanhã maiores comprometimentos. Daí as regras que orientaram a sua elaboração, cujas diretrizes são:</w:t>
      </w:r>
    </w:p>
    <w:p w14:paraId="1CB6671C" w14:textId="77777777" w:rsidR="00000000" w:rsidRDefault="00000000">
      <w:pPr>
        <w:pStyle w:val="Palestras"/>
        <w:numPr>
          <w:ilvl w:val="0"/>
          <w:numId w:val="24"/>
        </w:numPr>
      </w:pPr>
      <w:r>
        <w:t>preservação do que fosse possível do Código de 16 e aproveitamento dos anteprojetos antecedentes.</w:t>
      </w:r>
    </w:p>
    <w:p w14:paraId="1C9E59B7" w14:textId="77777777" w:rsidR="00000000" w:rsidRDefault="00000000">
      <w:pPr>
        <w:pStyle w:val="Palestras"/>
        <w:numPr>
          <w:ilvl w:val="0"/>
          <w:numId w:val="24"/>
        </w:numPr>
      </w:pPr>
      <w:r>
        <w:t>Introdução de valores essenciais, tais como :</w:t>
      </w:r>
    </w:p>
    <w:p w14:paraId="01E49255" w14:textId="77777777" w:rsidR="00000000" w:rsidRDefault="00000000">
      <w:pPr>
        <w:pStyle w:val="Palestras"/>
        <w:numPr>
          <w:ilvl w:val="0"/>
          <w:numId w:val="25"/>
        </w:numPr>
      </w:pPr>
      <w:r>
        <w:t>Eticidade – fora o formalismo jurídico do Direito português e da Escola Germânica;</w:t>
      </w:r>
    </w:p>
    <w:p w14:paraId="38CE79FB" w14:textId="77777777" w:rsidR="00000000" w:rsidRDefault="00000000">
      <w:pPr>
        <w:pStyle w:val="Palestras"/>
        <w:numPr>
          <w:ilvl w:val="0"/>
          <w:numId w:val="25"/>
        </w:numPr>
      </w:pPr>
      <w:r>
        <w:t>Sociabilidade – superação do caráter individual;</w:t>
      </w:r>
    </w:p>
    <w:p w14:paraId="642A6761" w14:textId="77777777" w:rsidR="00000000" w:rsidRDefault="00000000">
      <w:pPr>
        <w:pStyle w:val="Palestras"/>
        <w:numPr>
          <w:ilvl w:val="0"/>
          <w:numId w:val="25"/>
        </w:numPr>
      </w:pPr>
      <w:r>
        <w:t>Operabilidade – eliminação das dúvidas conceituais e interpretativas;</w:t>
      </w:r>
    </w:p>
    <w:p w14:paraId="49CCD2DF" w14:textId="77777777" w:rsidR="00000000" w:rsidRDefault="00000000">
      <w:pPr>
        <w:pStyle w:val="Palestras"/>
        <w:numPr>
          <w:ilvl w:val="0"/>
          <w:numId w:val="24"/>
        </w:numPr>
      </w:pPr>
      <w:r>
        <w:t>disciplinamento exclusivo de matéria já consolidada e sedimentada, deixando fora, porque ainda não acabada, a pesquisa científica em torno da clonagem, barriga de aluguel, inseminação artificial, congelamento de embriões, eutanásia, internet, transsexualidade ou mudança de sexo etc.</w:t>
      </w:r>
    </w:p>
    <w:p w14:paraId="51C29EA9" w14:textId="77777777" w:rsidR="00000000" w:rsidRDefault="00000000">
      <w:pPr>
        <w:pStyle w:val="Palestras"/>
        <w:numPr>
          <w:ilvl w:val="0"/>
          <w:numId w:val="24"/>
        </w:numPr>
      </w:pPr>
      <w:r>
        <w:lastRenderedPageBreak/>
        <w:t>unificação das obrigações, inclusive em relação às  derivadas das relações de comércio.</w:t>
      </w:r>
    </w:p>
    <w:p w14:paraId="324D9795" w14:textId="77777777" w:rsidR="00000000" w:rsidRDefault="00000000">
      <w:pPr>
        <w:pStyle w:val="Palestras"/>
      </w:pPr>
      <w:r>
        <w:t>Como princípios, estabeleceu:</w:t>
      </w:r>
    </w:p>
    <w:p w14:paraId="65BCEEF7" w14:textId="77777777" w:rsidR="00000000" w:rsidRDefault="00000000">
      <w:pPr>
        <w:pStyle w:val="Palestras"/>
        <w:numPr>
          <w:ilvl w:val="0"/>
          <w:numId w:val="25"/>
        </w:numPr>
      </w:pPr>
      <w:r>
        <w:t>boa-fé (art. 113);</w:t>
      </w:r>
    </w:p>
    <w:p w14:paraId="1C2870A5" w14:textId="77777777" w:rsidR="00000000" w:rsidRDefault="00000000">
      <w:pPr>
        <w:pStyle w:val="Palestras"/>
        <w:numPr>
          <w:ilvl w:val="0"/>
          <w:numId w:val="25"/>
        </w:numPr>
      </w:pPr>
      <w:r>
        <w:t>usos e costumes locais (art. 187);</w:t>
      </w:r>
    </w:p>
    <w:p w14:paraId="56762788" w14:textId="77777777" w:rsidR="00000000" w:rsidRDefault="00000000">
      <w:pPr>
        <w:pStyle w:val="Palestras"/>
        <w:numPr>
          <w:ilvl w:val="0"/>
          <w:numId w:val="25"/>
        </w:numPr>
      </w:pPr>
      <w:r>
        <w:t>probidade (art. 422);</w:t>
      </w:r>
    </w:p>
    <w:p w14:paraId="0DD77216" w14:textId="77777777" w:rsidR="00000000" w:rsidRDefault="00000000">
      <w:pPr>
        <w:pStyle w:val="Palestras"/>
        <w:numPr>
          <w:ilvl w:val="0"/>
          <w:numId w:val="25"/>
        </w:numPr>
      </w:pPr>
      <w:r>
        <w:t>função social dos contratos.</w:t>
      </w:r>
    </w:p>
    <w:p w14:paraId="1D407C21" w14:textId="77777777" w:rsidR="00000000" w:rsidRDefault="00000000">
      <w:pPr>
        <w:pStyle w:val="Palestras"/>
      </w:pPr>
      <w:r>
        <w:t>Dentre as inovações, destacam-se:</w:t>
      </w:r>
    </w:p>
    <w:p w14:paraId="4DE6B210" w14:textId="77777777" w:rsidR="00000000" w:rsidRDefault="00000000">
      <w:pPr>
        <w:pStyle w:val="Palestras"/>
        <w:numPr>
          <w:ilvl w:val="0"/>
          <w:numId w:val="26"/>
        </w:numPr>
      </w:pPr>
      <w:r>
        <w:t>flexibilização das normas;</w:t>
      </w:r>
    </w:p>
    <w:p w14:paraId="2649F2DF" w14:textId="77777777" w:rsidR="00000000" w:rsidRDefault="00000000">
      <w:pPr>
        <w:pStyle w:val="Palestras"/>
        <w:numPr>
          <w:ilvl w:val="0"/>
          <w:numId w:val="26"/>
        </w:numPr>
      </w:pPr>
      <w:r>
        <w:t>liberdade para o juiz;</w:t>
      </w:r>
    </w:p>
    <w:p w14:paraId="7DF70D6E" w14:textId="77777777" w:rsidR="00000000" w:rsidRDefault="00000000">
      <w:pPr>
        <w:pStyle w:val="Palestras"/>
        <w:numPr>
          <w:ilvl w:val="0"/>
          <w:numId w:val="26"/>
        </w:numPr>
      </w:pPr>
      <w:r>
        <w:t>conceituação do negócio jurídico;</w:t>
      </w:r>
    </w:p>
    <w:p w14:paraId="09CB2C8D" w14:textId="77777777" w:rsidR="00000000" w:rsidRDefault="00000000">
      <w:pPr>
        <w:pStyle w:val="Palestras"/>
        <w:numPr>
          <w:ilvl w:val="0"/>
          <w:numId w:val="26"/>
        </w:numPr>
      </w:pPr>
      <w:r>
        <w:t>conceituação de lesão, abuso de personalidade jurídica;</w:t>
      </w:r>
    </w:p>
    <w:p w14:paraId="5278CCCD" w14:textId="77777777" w:rsidR="00000000" w:rsidRDefault="00000000">
      <w:pPr>
        <w:pStyle w:val="Palestras"/>
        <w:numPr>
          <w:ilvl w:val="0"/>
          <w:numId w:val="26"/>
        </w:numPr>
      </w:pPr>
      <w:r>
        <w:t>abuso do direito como elemento subjetivo;</w:t>
      </w:r>
    </w:p>
    <w:p w14:paraId="7F55BB6C" w14:textId="77777777" w:rsidR="00000000" w:rsidRDefault="00000000">
      <w:pPr>
        <w:pStyle w:val="Palestras"/>
        <w:numPr>
          <w:ilvl w:val="0"/>
          <w:numId w:val="26"/>
        </w:numPr>
      </w:pPr>
      <w:r>
        <w:t>enfatização do contrato como função social;</w:t>
      </w:r>
    </w:p>
    <w:p w14:paraId="17040E1B" w14:textId="77777777" w:rsidR="00000000" w:rsidRDefault="00000000">
      <w:pPr>
        <w:pStyle w:val="Palestras"/>
        <w:numPr>
          <w:ilvl w:val="0"/>
          <w:numId w:val="26"/>
        </w:numPr>
      </w:pPr>
      <w:r>
        <w:t>unificação do direito das obrigações;</w:t>
      </w:r>
    </w:p>
    <w:p w14:paraId="119DDCA1" w14:textId="77777777" w:rsidR="00000000" w:rsidRDefault="00000000">
      <w:pPr>
        <w:pStyle w:val="Palestras-Captulo"/>
      </w:pPr>
      <w:r>
        <w:t>Limites do Microssistema (CDC) e do Macrossistema (Código civil)</w:t>
      </w:r>
    </w:p>
    <w:p w14:paraId="7025D684" w14:textId="77777777" w:rsidR="00000000" w:rsidRDefault="00000000">
      <w:pPr>
        <w:pStyle w:val="Palestras"/>
      </w:pPr>
    </w:p>
    <w:p w14:paraId="76A37179" w14:textId="77777777" w:rsidR="00000000" w:rsidRDefault="00000000">
      <w:pPr>
        <w:pStyle w:val="Palestras"/>
      </w:pPr>
      <w:r>
        <w:t>Quando se pretende fazer uma análise comparativa, deve-se ter em mente que o CDC é produto legislativo da pós-modernidade, em que se procura estabelecer os regramentos, apreendendo o mais possível as características de cada um. Daí a posição de serem estabelecidos diversos microssistemas.</w:t>
      </w:r>
    </w:p>
    <w:p w14:paraId="774521F8" w14:textId="77777777" w:rsidR="00000000" w:rsidRDefault="00000000">
      <w:pPr>
        <w:pStyle w:val="Palestras"/>
      </w:pPr>
      <w:r>
        <w:t>Como o CDC surgiu em uma época de grande defasagem do direito civil perante a realidade social, ocupou um espaço que não era exatamente o seu, principalmente no que toca à parte principiológica do Direito das Obrigações.</w:t>
      </w:r>
    </w:p>
    <w:p w14:paraId="32352067" w14:textId="77777777" w:rsidR="00000000" w:rsidRDefault="00000000">
      <w:pPr>
        <w:pStyle w:val="Palestras"/>
      </w:pPr>
      <w:r>
        <w:lastRenderedPageBreak/>
        <w:t>E essa invasão do CDC nas relações do direito civil foi o reflexo do trabalho da jurisprudência. Daí por que dizem os juristas que a entrada em vigor do Novo Código Civil, paradoxalmente, contribuirá para um redimensionamento de muitas questões até então confusas.</w:t>
      </w:r>
    </w:p>
    <w:p w14:paraId="3B28EC41" w14:textId="77777777" w:rsidR="00000000" w:rsidRDefault="00000000">
      <w:pPr>
        <w:pStyle w:val="Palestras"/>
      </w:pPr>
      <w:r>
        <w:t>O primeiro destaque que faço, nesse trabalho de realinhamento, é para o fato de que o CDC, em princípio, só disciplina as relações de consumo.</w:t>
      </w:r>
    </w:p>
    <w:p w14:paraId="2BFC557A" w14:textId="77777777" w:rsidR="00000000" w:rsidRDefault="00000000">
      <w:pPr>
        <w:pStyle w:val="Palestras"/>
      </w:pPr>
      <w:r>
        <w:t>E o que vem a ser relação de consumo? O CDC não a conceitua, limitando-se em estabelecer o conceito de consumidor.</w:t>
      </w:r>
    </w:p>
    <w:p w14:paraId="0A67F753" w14:textId="77777777" w:rsidR="00000000" w:rsidRDefault="00000000">
      <w:pPr>
        <w:pStyle w:val="Palestras"/>
      </w:pPr>
      <w:r>
        <w:t>Pretendeu o legislador brasileiro proteger o consumidor, optando por dar um enfoque pluralista à expressão, que abrange o consumidor médio, mais ou menos atento, incluindo-se na dimensão o consumidor sem instrução, sem recursos financeiros. É o consumidor em potencial.</w:t>
      </w:r>
    </w:p>
    <w:p w14:paraId="5187E200" w14:textId="77777777" w:rsidR="00000000" w:rsidRDefault="00000000">
      <w:pPr>
        <w:pStyle w:val="Palestras"/>
      </w:pPr>
      <w:r>
        <w:t xml:space="preserve">Assim, encontramos no CDC, ao lado da definição do que seja consumidor (art. 2º, </w:t>
      </w:r>
      <w:r>
        <w:rPr>
          <w:i/>
        </w:rPr>
        <w:t>caput</w:t>
      </w:r>
      <w:r>
        <w:rPr>
          <w:rStyle w:val="FootnoteReference"/>
          <w:i/>
        </w:rPr>
        <w:footnoteReference w:id="1"/>
      </w:r>
      <w:r>
        <w:t>), a figura do:</w:t>
      </w:r>
    </w:p>
    <w:p w14:paraId="64F5F257" w14:textId="77777777" w:rsidR="00000000" w:rsidRDefault="00000000">
      <w:pPr>
        <w:pStyle w:val="Palestras"/>
      </w:pPr>
      <w:r>
        <w:t>1) CONSUMIDOR VULNERÁVEL (pobre e fraco – art. 4º, I);</w:t>
      </w:r>
    </w:p>
    <w:p w14:paraId="4A5ED35D" w14:textId="77777777" w:rsidR="00000000" w:rsidRDefault="00000000">
      <w:pPr>
        <w:pStyle w:val="Palestras"/>
      </w:pPr>
      <w:r>
        <w:t>2) CONSUMIDOR VÍTIMA EM GERAL (art. 17); e</w:t>
      </w:r>
    </w:p>
    <w:p w14:paraId="32DF75DF" w14:textId="77777777" w:rsidR="00000000" w:rsidRDefault="00000000">
      <w:pPr>
        <w:pStyle w:val="Palestras"/>
      </w:pPr>
      <w:r>
        <w:t>3) CONSUMIDOR representado por pessoas expostas a práticas abusivas de mercado (art. 29).</w:t>
      </w:r>
    </w:p>
    <w:p w14:paraId="41B9B2BF" w14:textId="77777777" w:rsidR="00000000" w:rsidRDefault="00000000">
      <w:pPr>
        <w:pStyle w:val="Palestras"/>
      </w:pPr>
      <w:r>
        <w:t>Temos, então, o CONSUMIDOR propriamente dito e o CONSUMIDOR EQUIPARADO, mas, em verdade, só se trata de consumo a aquisição ou a utilização de um bem, sem importar qual o destino desta utilização, se vinculada direta ou indiretamente a uma atividade econômica. Retirou o produto de circulação, é consumidor. E a polêmica ainda mais se amplia, quando se procuram as diferenças entre ADQUIRENTE e USUÁRIO, sendo certo que ambos se utilizam do bem adquirido.</w:t>
      </w:r>
    </w:p>
    <w:p w14:paraId="0C0B0ED9" w14:textId="77777777" w:rsidR="00000000" w:rsidRDefault="00000000">
      <w:pPr>
        <w:pStyle w:val="Palestras"/>
      </w:pPr>
      <w:r>
        <w:lastRenderedPageBreak/>
        <w:t>A abstração é própria dos chamados MAXIMALISTAS, que se contrapõem aos FINALISTAS, para quem CONSUMIDOR é o destinatário econômico que se encontra na etapa derradeira da atividade econômica.</w:t>
      </w:r>
    </w:p>
    <w:p w14:paraId="1F455CEC" w14:textId="77777777" w:rsidR="00000000" w:rsidRDefault="00000000">
      <w:pPr>
        <w:pStyle w:val="Palestras"/>
      </w:pPr>
      <w:r>
        <w:t xml:space="preserve">A jurisprudência tem se inclinado com maior insistência para a corrente MAXIMALISTA, o que se pode bem verificar na jurisprudência do STJ, que, em relação aos contratos bancários, não indagou se consumidor </w:t>
      </w:r>
      <w:r>
        <w:rPr>
          <w:i/>
        </w:rPr>
        <w:t>stricto sensu</w:t>
      </w:r>
      <w:r>
        <w:t>, ou se consumidor equiparado, quando proclamou:</w:t>
      </w:r>
    </w:p>
    <w:p w14:paraId="430A8527" w14:textId="77777777" w:rsidR="00000000" w:rsidRDefault="00000000">
      <w:pPr>
        <w:pStyle w:val="Palestras-Transcrio"/>
      </w:pPr>
      <w:r>
        <w:t>As instituições bancárias são regidas pela disciplina do CDC, sendo possível a revisão dos contratos sob a sua ótica.</w:t>
      </w:r>
    </w:p>
    <w:p w14:paraId="05A30496" w14:textId="77777777" w:rsidR="00000000" w:rsidRDefault="00000000">
      <w:pPr>
        <w:pStyle w:val="Palestras-Transcrio"/>
        <w:ind w:firstLine="0"/>
        <w:jc w:val="center"/>
        <w:rPr>
          <w:i w:val="0"/>
        </w:rPr>
      </w:pPr>
      <w:r>
        <w:rPr>
          <w:i w:val="0"/>
        </w:rPr>
        <w:t>(REsp 341.672/RS)</w:t>
      </w:r>
    </w:p>
    <w:p w14:paraId="59F392AE" w14:textId="77777777" w:rsidR="00000000" w:rsidRDefault="00000000">
      <w:pPr>
        <w:pStyle w:val="Palestras-Transcrio"/>
        <w:ind w:firstLine="0"/>
        <w:rPr>
          <w:i w:val="0"/>
        </w:rPr>
      </w:pPr>
    </w:p>
    <w:p w14:paraId="704F1325" w14:textId="77777777" w:rsidR="00000000" w:rsidRDefault="00000000">
      <w:pPr>
        <w:pStyle w:val="Palestras-Transcrio"/>
      </w:pPr>
      <w:r>
        <w:t>O CDC é aplicável sobre todos os contratos de financiamento bancário firmados entre as instituições financeiras e seus clientes.</w:t>
      </w:r>
    </w:p>
    <w:p w14:paraId="249E6EE6" w14:textId="77777777" w:rsidR="00000000" w:rsidRDefault="00000000">
      <w:pPr>
        <w:pStyle w:val="Palestras-Transcrio"/>
        <w:ind w:firstLine="0"/>
        <w:jc w:val="center"/>
        <w:rPr>
          <w:i w:val="0"/>
        </w:rPr>
      </w:pPr>
      <w:r>
        <w:rPr>
          <w:i w:val="0"/>
        </w:rPr>
        <w:t>(REsp 334.175/RS)</w:t>
      </w:r>
    </w:p>
    <w:p w14:paraId="6D113C27" w14:textId="77777777" w:rsidR="00000000" w:rsidRDefault="00000000">
      <w:pPr>
        <w:pStyle w:val="Palestras-Transcrio"/>
        <w:ind w:firstLine="0"/>
        <w:jc w:val="center"/>
        <w:rPr>
          <w:i w:val="0"/>
        </w:rPr>
      </w:pPr>
    </w:p>
    <w:p w14:paraId="493D92C3" w14:textId="77777777" w:rsidR="00000000" w:rsidRDefault="00000000">
      <w:pPr>
        <w:pStyle w:val="Palestras"/>
      </w:pPr>
      <w:r>
        <w:t>Presentemente, enfrenta o STF, na ADIn 2591/2001,  controvérsia para classificar as relações dos poupadores de cadernetas de poupança, dos usuários de cartões de crédito, de seguro, e de todas as operações bancárias, à luz do art. 192 da Carta Magna. O questionamento está no fato de tais relações observarem o comando legal de lei complementar e não o CDC, que é lei ordinária.</w:t>
      </w:r>
    </w:p>
    <w:p w14:paraId="5A342093" w14:textId="77777777" w:rsidR="00000000" w:rsidRDefault="00000000">
      <w:pPr>
        <w:pStyle w:val="Palestras"/>
      </w:pPr>
      <w:r>
        <w:t>A polêmica encontrará solução no Código Civil, que, ao promover a unificação das obrigações civil e comercial, encampou o conceito de empresário (</w:t>
      </w:r>
      <w:r>
        <w:rPr>
          <w:i/>
        </w:rPr>
        <w:t>aquele que exerce profissionalmente atividade econômica organizada para produção ou circulação de bens ou serviços - art. 966)</w:t>
      </w:r>
      <w:r>
        <w:t>. O conceito coincide com o conceito de fornecedor do CDC</w:t>
      </w:r>
    </w:p>
    <w:p w14:paraId="1CD28A29" w14:textId="77777777" w:rsidR="00000000" w:rsidRDefault="00000000">
      <w:pPr>
        <w:pStyle w:val="Palestras"/>
      </w:pPr>
    </w:p>
    <w:p w14:paraId="540B09CE" w14:textId="77777777" w:rsidR="00000000" w:rsidRDefault="00000000">
      <w:pPr>
        <w:pStyle w:val="Heading1"/>
        <w:spacing w:line="360" w:lineRule="auto"/>
        <w:jc w:val="center"/>
        <w:rPr>
          <w:smallCaps/>
        </w:rPr>
      </w:pPr>
      <w:r>
        <w:rPr>
          <w:smallCaps/>
        </w:rPr>
        <w:t>Disposições Convergentes, Divergentes e Complementares</w:t>
      </w:r>
    </w:p>
    <w:p w14:paraId="4684058B" w14:textId="77777777" w:rsidR="00000000" w:rsidRDefault="00000000">
      <w:pPr>
        <w:pStyle w:val="Palestras"/>
        <w:rPr>
          <w:b/>
        </w:rPr>
      </w:pPr>
      <w:r>
        <w:rPr>
          <w:b/>
        </w:rPr>
        <w:t>Disposições Convergentes</w:t>
      </w:r>
    </w:p>
    <w:p w14:paraId="51D579F1" w14:textId="77777777" w:rsidR="00000000" w:rsidRDefault="00000000">
      <w:pPr>
        <w:pStyle w:val="Palestras"/>
      </w:pPr>
      <w:r>
        <w:lastRenderedPageBreak/>
        <w:t>Aquelas que o CDC adotou do Código de 1916, tais como: a) princípios da probidade e da boa-fé – art. 421 e 422; e b) abuso da personalidade jurídica – art.50 CC.</w:t>
      </w:r>
    </w:p>
    <w:p w14:paraId="05B3E13B" w14:textId="77777777" w:rsidR="00000000" w:rsidRDefault="00000000">
      <w:pPr>
        <w:pStyle w:val="Palestras"/>
      </w:pPr>
    </w:p>
    <w:p w14:paraId="60D43D45" w14:textId="77777777" w:rsidR="00000000" w:rsidRDefault="00000000">
      <w:pPr>
        <w:pStyle w:val="Palestras"/>
        <w:rPr>
          <w:b/>
        </w:rPr>
      </w:pPr>
      <w:r>
        <w:rPr>
          <w:b/>
        </w:rPr>
        <w:t>Disposições Divergentes</w:t>
      </w:r>
    </w:p>
    <w:p w14:paraId="493F59AE" w14:textId="77777777" w:rsidR="00000000" w:rsidRDefault="00000000">
      <w:pPr>
        <w:pStyle w:val="Palestras"/>
      </w:pPr>
    </w:p>
    <w:p w14:paraId="1E604B58" w14:textId="77777777" w:rsidR="00000000" w:rsidRDefault="00000000">
      <w:pPr>
        <w:pStyle w:val="Palestras"/>
      </w:pPr>
      <w:r>
        <w:t>a) O CDC prevê como cláusula de revisão contratual a desproporcionalidade das prestações (art. 6º, V) e como prática abusiva prevalecer-se o fornecedor da fraqueza ou inexperiência do consumidor, tendo em vista sua idade, saúde, conhecimento ou condição social.</w:t>
      </w:r>
    </w:p>
    <w:p w14:paraId="6F372E5B" w14:textId="77777777" w:rsidR="00000000" w:rsidRDefault="00000000">
      <w:pPr>
        <w:pStyle w:val="Palestras"/>
      </w:pPr>
      <w:r>
        <w:t>O Código Civil inclui a lesão entre os defeitos do negócio jurídico, definindo-a como a assunção da obrigação desproporcional, mas, nesse caso, exige-se o dolo.</w:t>
      </w:r>
    </w:p>
    <w:p w14:paraId="32FA4C86" w14:textId="77777777" w:rsidR="00000000" w:rsidRDefault="00000000">
      <w:pPr>
        <w:pStyle w:val="Palestras"/>
      </w:pPr>
      <w:r>
        <w:t>b) O art. 423 do Código Civil dispõe sobre os contratos de adesão e afirma que devem ser interpretados de maneira mais favorável ao aderente quando houver cláusulas ambíguas ou contraditórias.</w:t>
      </w:r>
    </w:p>
    <w:p w14:paraId="47568712" w14:textId="77777777" w:rsidR="00000000" w:rsidRDefault="00000000">
      <w:pPr>
        <w:pStyle w:val="Palestras"/>
      </w:pPr>
      <w:r>
        <w:t>O art. 47 do CDC determina que a interpretação das cláusulas contratuais deve sempre ser mais favorável ao consumidor.</w:t>
      </w:r>
    </w:p>
    <w:p w14:paraId="5D88A7F0" w14:textId="77777777" w:rsidR="00000000" w:rsidRDefault="00000000">
      <w:pPr>
        <w:pStyle w:val="Palestras"/>
      </w:pPr>
      <w:r>
        <w:t>c) O Código Civil prevê resolução do contrato por onerosidade excessiva, quando o contrato se desequilibrar em razão de vantagem extrema provocada por fatos extraordinários e imprevisíveis – teoria da imprevisão.</w:t>
      </w:r>
    </w:p>
    <w:p w14:paraId="5E9F7954" w14:textId="77777777" w:rsidR="00000000" w:rsidRDefault="00000000">
      <w:pPr>
        <w:pStyle w:val="Palestras"/>
      </w:pPr>
      <w:r>
        <w:t>O CDC deixa o exame a critério do juiz sem exigir a imprevisibilidade e a extraordinariedade.</w:t>
      </w:r>
    </w:p>
    <w:p w14:paraId="26FE6EDF" w14:textId="77777777" w:rsidR="00000000" w:rsidRDefault="00000000">
      <w:pPr>
        <w:pStyle w:val="Palestras"/>
      </w:pPr>
    </w:p>
    <w:p w14:paraId="09F0354F" w14:textId="77777777" w:rsidR="00000000" w:rsidRDefault="00000000">
      <w:pPr>
        <w:pStyle w:val="Palestras"/>
      </w:pPr>
    </w:p>
    <w:p w14:paraId="5F39D870" w14:textId="77777777" w:rsidR="00000000" w:rsidRDefault="00000000">
      <w:pPr>
        <w:pStyle w:val="Palestras"/>
      </w:pPr>
    </w:p>
    <w:p w14:paraId="49311821" w14:textId="77777777" w:rsidR="00000000" w:rsidRDefault="00000000">
      <w:pPr>
        <w:pStyle w:val="Palestras"/>
        <w:rPr>
          <w:b/>
        </w:rPr>
      </w:pPr>
    </w:p>
    <w:p w14:paraId="7B7782DA" w14:textId="77777777" w:rsidR="00000000" w:rsidRDefault="00000000">
      <w:pPr>
        <w:pStyle w:val="Palestras"/>
        <w:rPr>
          <w:b/>
        </w:rPr>
      </w:pPr>
      <w:r>
        <w:rPr>
          <w:b/>
        </w:rPr>
        <w:t>Disposições Complementares</w:t>
      </w:r>
    </w:p>
    <w:p w14:paraId="32E3CF5F" w14:textId="77777777" w:rsidR="00000000" w:rsidRDefault="00000000">
      <w:pPr>
        <w:pStyle w:val="Palestras"/>
      </w:pPr>
    </w:p>
    <w:p w14:paraId="689731D2" w14:textId="77777777" w:rsidR="00000000" w:rsidRDefault="00000000">
      <w:pPr>
        <w:pStyle w:val="Palestras"/>
      </w:pPr>
      <w:r>
        <w:t>a) O parágrafo único do artigo 927 do Código Civil impõe a obrigação de reparar o dano, independentemente de culpa, nos casos que especifica ou quando a atividade desenvolvida pelo autor do dano implicar risco para os direitos de outrem.</w:t>
      </w:r>
    </w:p>
    <w:p w14:paraId="0B5F3BFB" w14:textId="77777777" w:rsidR="00000000" w:rsidRDefault="00000000">
      <w:pPr>
        <w:pStyle w:val="Palestras"/>
      </w:pPr>
      <w:r>
        <w:t>As regras de responsabilidade civil do fornecedor pelo FATO DO PRODUTO ou DO SERVIÇO independe de culpa.</w:t>
      </w:r>
    </w:p>
    <w:p w14:paraId="5F8CB4DE" w14:textId="77777777" w:rsidR="00000000" w:rsidRDefault="00000000">
      <w:pPr>
        <w:pStyle w:val="Palestras"/>
      </w:pPr>
      <w:r>
        <w:t>b) o art. 156 do Código Civil prevê o chamado ESTADO DE PERIGO quando alguém, premido por necessidade de salvar-se, ou a pessoa da família, de grave dano, assume obrigação excessivamente onerosa.</w:t>
      </w:r>
    </w:p>
    <w:p w14:paraId="34039AB1" w14:textId="77777777" w:rsidR="00000000" w:rsidRDefault="00000000">
      <w:pPr>
        <w:pStyle w:val="Palestras"/>
      </w:pPr>
      <w:r>
        <w:t>O Código considera esse estado de perigo como defeito do negócio jurídico capaz de anular o negócio.</w:t>
      </w:r>
    </w:p>
    <w:p w14:paraId="09523D50" w14:textId="77777777" w:rsidR="00000000" w:rsidRDefault="00000000">
      <w:pPr>
        <w:pStyle w:val="Palestras"/>
      </w:pPr>
      <w:r>
        <w:t>O CDC não tem a disposição, mas pode ser aplicável supletivamente.</w:t>
      </w:r>
    </w:p>
    <w:p w14:paraId="3306E4B4" w14:textId="77777777" w:rsidR="00000000" w:rsidRDefault="00000000">
      <w:pPr>
        <w:pStyle w:val="Palestras"/>
      </w:pPr>
      <w:r>
        <w:br w:type="page"/>
      </w:r>
    </w:p>
    <w:p w14:paraId="2A80A189" w14:textId="77777777" w:rsidR="00000000" w:rsidRDefault="00000000">
      <w:pPr>
        <w:pStyle w:val="Palestras-Captulo"/>
      </w:pPr>
      <w:r>
        <w:t>Conclusões</w:t>
      </w:r>
    </w:p>
    <w:p w14:paraId="23C1DDF0" w14:textId="77777777" w:rsidR="00000000" w:rsidRDefault="00000000">
      <w:pPr>
        <w:pStyle w:val="Palestras"/>
      </w:pPr>
    </w:p>
    <w:p w14:paraId="5F6BF982" w14:textId="77777777" w:rsidR="00000000" w:rsidRDefault="00000000">
      <w:pPr>
        <w:pStyle w:val="Palestras"/>
      </w:pPr>
      <w:r>
        <w:t>1) A vigência do Código Civil não trará prejuízo aos consumidores.</w:t>
      </w:r>
    </w:p>
    <w:p w14:paraId="4C4FC858" w14:textId="77777777" w:rsidR="00000000" w:rsidRDefault="00000000">
      <w:pPr>
        <w:pStyle w:val="Palestras"/>
      </w:pPr>
      <w:r>
        <w:t>2) O Código Civil, ao incorporar no seu texto o conceito de empresário, do Código Comercial, pôs fim à polêmica entre maximalistas e finalistas. Agora, ficará o CDC reservado ao destinatário final econômico.</w:t>
      </w:r>
    </w:p>
    <w:p w14:paraId="2BC5A2D3" w14:textId="77777777" w:rsidR="00000000" w:rsidRDefault="00000000">
      <w:pPr>
        <w:pStyle w:val="Palestras"/>
      </w:pPr>
      <w:r>
        <w:t>3) Quando o Código Civil estipular proteção inferior à estabelecida no CDC, o consumidor não será afetado, pois prevalecerá a lei especial.</w:t>
      </w:r>
    </w:p>
    <w:p w14:paraId="58043DBC" w14:textId="77777777" w:rsidR="00475842" w:rsidRDefault="00000000">
      <w:pPr>
        <w:pStyle w:val="Palestras"/>
      </w:pPr>
      <w:r>
        <w:t>4) Normas convergentes ou complementares do CDC podem ser aplicadas.</w:t>
      </w:r>
    </w:p>
    <w:sectPr w:rsidR="00475842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37" w:code="9"/>
      <w:pgMar w:top="567" w:right="851" w:bottom="794" w:left="1418" w:header="567" w:footer="244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4ACA90" w14:textId="77777777" w:rsidR="00475842" w:rsidRDefault="00475842">
      <w:r>
        <w:separator/>
      </w:r>
    </w:p>
  </w:endnote>
  <w:endnote w:type="continuationSeparator" w:id="0">
    <w:p w14:paraId="43F54836" w14:textId="77777777" w:rsidR="00475842" w:rsidRDefault="00475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F97D2" w14:textId="77777777" w:rsidR="00000000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D0130E" w14:textId="77777777" w:rsidR="00000000" w:rsidRDefault="000000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066D4" w14:textId="77777777" w:rsidR="00000000" w:rsidRDefault="00000000">
    <w:pPr>
      <w:pStyle w:val="Footer"/>
      <w:framePr w:wrap="around" w:vAnchor="page" w:hAnchor="page" w:x="10935" w:y="15337"/>
      <w:rPr>
        <w:rStyle w:val="PageNumber"/>
        <w:rFonts w:ascii="Arial" w:hAnsi="Arial"/>
        <w:b/>
      </w:rPr>
    </w:pPr>
    <w:r>
      <w:rPr>
        <w:rStyle w:val="PageNumber"/>
        <w:rFonts w:ascii="Arial" w:hAnsi="Arial"/>
        <w:b/>
      </w:rPr>
      <w:fldChar w:fldCharType="begin"/>
    </w:r>
    <w:r>
      <w:rPr>
        <w:rStyle w:val="PageNumber"/>
        <w:rFonts w:ascii="Arial" w:hAnsi="Arial"/>
        <w:b/>
      </w:rPr>
      <w:instrText xml:space="preserve">PAGE  </w:instrText>
    </w:r>
    <w:r>
      <w:rPr>
        <w:rStyle w:val="PageNumber"/>
        <w:rFonts w:ascii="Arial" w:hAnsi="Arial"/>
        <w:b/>
      </w:rPr>
      <w:fldChar w:fldCharType="separate"/>
    </w:r>
    <w:r>
      <w:rPr>
        <w:rStyle w:val="PageNumber"/>
        <w:rFonts w:ascii="Arial" w:hAnsi="Arial"/>
        <w:b/>
        <w:noProof/>
      </w:rPr>
      <w:t>11</w:t>
    </w:r>
    <w:r>
      <w:rPr>
        <w:rStyle w:val="PageNumber"/>
        <w:rFonts w:ascii="Arial" w:hAnsi="Arial"/>
        <w:b/>
      </w:rPr>
      <w:fldChar w:fldCharType="end"/>
    </w:r>
  </w:p>
  <w:p w14:paraId="7BF5DEAE" w14:textId="77777777" w:rsidR="00000000" w:rsidRDefault="00000000">
    <w:pPr>
      <w:pStyle w:val="Footer"/>
      <w:pBdr>
        <w:bottom w:val="single" w:sz="12" w:space="1" w:color="auto"/>
      </w:pBdr>
      <w:ind w:right="360"/>
    </w:pPr>
  </w:p>
  <w:p w14:paraId="226CA93B" w14:textId="77777777" w:rsidR="00000000" w:rsidRDefault="00000000">
    <w:pPr>
      <w:pStyle w:val="Footer"/>
    </w:pPr>
  </w:p>
  <w:p w14:paraId="3DA50530" w14:textId="77777777" w:rsidR="00000000" w:rsidRDefault="00000000">
    <w:pPr>
      <w:pStyle w:val="Footer"/>
    </w:pPr>
  </w:p>
  <w:p w14:paraId="7EC4EA96" w14:textId="77777777" w:rsidR="00000000" w:rsidRDefault="00000000">
    <w:pPr>
      <w:pStyle w:val="Footer"/>
    </w:pPr>
  </w:p>
  <w:p w14:paraId="636868C3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EED957" w14:textId="77777777" w:rsidR="00000000" w:rsidRDefault="00000000">
    <w:pPr>
      <w:pStyle w:val="Footer"/>
      <w:pBdr>
        <w:bottom w:val="single" w:sz="12" w:space="1" w:color="auto"/>
      </w:pBdr>
    </w:pPr>
  </w:p>
  <w:p w14:paraId="1B14B8D2" w14:textId="77777777" w:rsidR="00000000" w:rsidRDefault="00000000">
    <w:pPr>
      <w:pStyle w:val="Footer"/>
      <w:jc w:val="right"/>
      <w:rPr>
        <w:rFonts w:ascii="Arial" w:hAnsi="Arial"/>
        <w:sz w:val="16"/>
        <w:lang w:val="pt-BR"/>
      </w:rPr>
    </w:pP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  <w:lang w:val="pt-BR"/>
      </w:rPr>
      <w:instrText xml:space="preserve"> FILENAME </w:instrText>
    </w:r>
    <w:r>
      <w:rPr>
        <w:rFonts w:ascii="Arial" w:hAnsi="Arial"/>
        <w:sz w:val="16"/>
      </w:rPr>
      <w:fldChar w:fldCharType="separate"/>
    </w:r>
    <w:r>
      <w:rPr>
        <w:rFonts w:ascii="Arial" w:hAnsi="Arial"/>
        <w:noProof/>
        <w:sz w:val="16"/>
        <w:lang w:val="pt-BR"/>
      </w:rPr>
      <w:t>Código de Defesa do Consumidor e o Novo Código Civil (Temas Limítrofes)</w:t>
    </w:r>
    <w:r>
      <w:rPr>
        <w:rFonts w:ascii="Arial" w:hAnsi="Arial"/>
        <w:sz w:val="16"/>
      </w:rPr>
      <w:fldChar w:fldCharType="end"/>
    </w:r>
  </w:p>
  <w:p w14:paraId="05031E71" w14:textId="77777777" w:rsidR="00000000" w:rsidRDefault="00000000">
    <w:pPr>
      <w:pStyle w:val="Footer"/>
      <w:rPr>
        <w:lang w:val="pt-BR"/>
      </w:rPr>
    </w:pPr>
  </w:p>
  <w:p w14:paraId="63B399D5" w14:textId="77777777" w:rsidR="00000000" w:rsidRDefault="00000000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BEEF9D" w14:textId="77777777" w:rsidR="00475842" w:rsidRDefault="00475842">
      <w:r>
        <w:separator/>
      </w:r>
    </w:p>
  </w:footnote>
  <w:footnote w:type="continuationSeparator" w:id="0">
    <w:p w14:paraId="3F3F30E3" w14:textId="77777777" w:rsidR="00475842" w:rsidRDefault="00475842">
      <w:r>
        <w:continuationSeparator/>
      </w:r>
    </w:p>
  </w:footnote>
  <w:footnote w:id="1">
    <w:p w14:paraId="69DCDD5F" w14:textId="77777777" w:rsidR="00000000" w:rsidRDefault="00000000">
      <w:pPr>
        <w:pStyle w:val="FootnoteText"/>
      </w:pPr>
      <w:r>
        <w:rPr>
          <w:rStyle w:val="FootnoteReference"/>
        </w:rPr>
        <w:footnoteRef/>
      </w:r>
      <w:r>
        <w:t xml:space="preserve"> Consumidor é toda pessoa física ou jurídica que adquire ou utiliza produtos ou serviços como destinatário final.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8432F" w14:textId="77777777" w:rsidR="00000000" w:rsidRDefault="00000000">
    <w:pPr>
      <w:tabs>
        <w:tab w:val="right" w:pos="9638"/>
      </w:tabs>
      <w:jc w:val="both"/>
      <w:rPr>
        <w:rFonts w:ascii="Arial" w:hAnsi="Arial"/>
        <w:b/>
      </w:rPr>
    </w:pPr>
    <w:r>
      <w:rPr>
        <w:rFonts w:ascii="Verdana" w:hAnsi="Verdana"/>
        <w:b/>
        <w:i/>
        <w:snapToGrid w:val="0"/>
      </w:rPr>
      <w:fldChar w:fldCharType="begin"/>
    </w:r>
    <w:r>
      <w:rPr>
        <w:rFonts w:ascii="Verdana" w:hAnsi="Verdana"/>
        <w:b/>
        <w:i/>
        <w:snapToGrid w:val="0"/>
      </w:rPr>
      <w:instrText xml:space="preserve"> FILENAME </w:instrText>
    </w:r>
    <w:r>
      <w:rPr>
        <w:rFonts w:ascii="Verdana" w:hAnsi="Verdana"/>
        <w:b/>
        <w:i/>
        <w:snapToGrid w:val="0"/>
      </w:rPr>
      <w:fldChar w:fldCharType="separate"/>
    </w:r>
    <w:r>
      <w:rPr>
        <w:rFonts w:ascii="Verdana" w:hAnsi="Verdana"/>
        <w:b/>
        <w:i/>
        <w:noProof/>
        <w:snapToGrid w:val="0"/>
      </w:rPr>
      <w:t>Código de Defesa do Consumidor e o Novo Código Civil (Temas Limítrofes)</w:t>
    </w:r>
    <w:r>
      <w:rPr>
        <w:rFonts w:ascii="Verdana" w:hAnsi="Verdana"/>
        <w:b/>
        <w:i/>
        <w:snapToGrid w:val="0"/>
      </w:rPr>
      <w:fldChar w:fldCharType="end"/>
    </w:r>
    <w:r>
      <w:rPr>
        <w:rFonts w:ascii="Verdana" w:hAnsi="Verdana"/>
        <w:b/>
        <w:i/>
      </w:rPr>
      <w:tab/>
    </w:r>
  </w:p>
  <w:p w14:paraId="21563F96" w14:textId="77777777" w:rsidR="00000000" w:rsidRDefault="00E60D9E">
    <w:pPr>
      <w:tabs>
        <w:tab w:val="left" w:pos="1985"/>
      </w:tabs>
      <w:spacing w:line="19" w:lineRule="exact"/>
      <w:jc w:val="both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0" allowOverlap="1" wp14:anchorId="6079BD13" wp14:editId="39576C27">
              <wp:simplePos x="0" y="0"/>
              <wp:positionH relativeFrom="page">
                <wp:posOffset>899795</wp:posOffset>
              </wp:positionH>
              <wp:positionV relativeFrom="paragraph">
                <wp:posOffset>0</wp:posOffset>
              </wp:positionV>
              <wp:extent cx="6120130" cy="12065"/>
              <wp:effectExtent l="0" t="0" r="0" b="0"/>
              <wp:wrapNone/>
              <wp:docPr id="133247657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20130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B7CF4" id="Rectangle 1" o:spid="_x0000_s1026" style="position:absolute;margin-left:70.85pt;margin-top:0;width:481.9pt;height: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6dEu1gEAAKsDAAAOAAAAZHJzL2Uyb0RvYy54bWysU9uO0zAQfUfiHyy/07SlWyBqukK7WoS0&#13;&#10;XKSFD3AcJ7FwPGbGbVq+nrHTdit4Q+TB8njGx3POnGxuD4MTe4NkwVdyMZtLYbyGxvqukt+/Pbx6&#13;&#10;KwVF5RvlwJtKHg3J2+3LF5sxlGYJPbjGoGAQT+UYKtnHGMqiIN2bQdEMgvGcbAEHFTnErmhQjYw+&#13;&#10;uGI5n6+LEbAJCNoQ8en9lJTbjN+2RscvbUsmCldJ7i3mFfNap7XYblTZoQq91ac21D90MSjr+dEL&#13;&#10;1L2KSuzQ/gU1WI1A0MaZhqGAtrXaZA7MZjH/g81Tr4LJXFgcCheZ6P/B6s/7p/AVU+sUHkH/IFak&#13;&#10;GAOVl0wKiGtEPX6ChmeodhEy2UOLQ7rJNMQha3q8aGoOUWg+XC+Y2GuWXnOO9+ubpHmhyvPlgBQ/&#13;&#10;GBhE2lQSeWQZXO0fKU6l55LcJTjbPFjncoBdfedQ7FUab/5O6HRd5nwq9pCuTYjTickGOT1zppms&#13;&#10;Q2UNzZEpI0yOYYfzpgf8JcXIbqkk/dwpNFK4j57H8W6xWiV75WB182bJAV5n6uuM8pqhKhmlmLZ3&#13;&#10;cbLkLqDten5pkSXw8J6lbm2W4bmr04DYEVnIk3uT5a7jXPX8j21/AwAA//8DAFBLAwQUAAYACAAA&#13;&#10;ACEA4b8Srt0AAAAMAQAADwAAAGRycy9kb3ducmV2LnhtbExPTU/DMAy9I/EfIiNxY0mBDdY1nRCM&#13;&#10;E9ImBtzTxmsrEqdqsrX8e7wTXCw/Pft9FOvJO3HCIXaBNGQzBQKpDrajRsPnx+vNI4iYDFnjAqGG&#13;&#10;H4ywLi8vCpPbMNI7nvapESxCMTca2pT6XMpYt+hNnIUeiblDGLxJDIdG2sGMLO6dvFVqIb3piB1a&#13;&#10;0+Nzi/X3/ug1LMbNF+2Wh+Dfwq511Z2ScbvR+vpqelnxeFqBSDilvw84d+D8UHKwKhzJRuEY32cP&#13;&#10;fKqBa53pTM3nICreliDLQv4vUf4CAAD//wMAUEsBAi0AFAAGAAgAAAAhALaDOJL+AAAA4QEAABMA&#13;&#10;AAAAAAAAAAAAAAAAAAAAAFtDb250ZW50X1R5cGVzXS54bWxQSwECLQAUAAYACAAAACEAOP0h/9YA&#13;&#10;AACUAQAACwAAAAAAAAAAAAAAAAAvAQAAX3JlbHMvLnJlbHNQSwECLQAUAAYACAAAACEA7enRLtYB&#13;&#10;AACrAwAADgAAAAAAAAAAAAAAAAAuAgAAZHJzL2Uyb0RvYy54bWxQSwECLQAUAAYACAAAACEA4b8S&#13;&#10;rt0AAAAMAQAADwAAAAAAAAAAAAAAAAAwBAAAZHJzL2Rvd25yZXYueG1sUEsFBgAAAAAEAAQA8wAA&#13;&#10;ADoFAAAAAA==&#13;&#10;" o:allowincell="f" fillcolor="black" stroked="f" strokeweight="0">
              <v:path arrowok="t"/>
              <w10:wrap anchorx="page"/>
              <w10:anchorlock/>
            </v:rect>
          </w:pict>
        </mc:Fallback>
      </mc:AlternateContent>
    </w:r>
  </w:p>
  <w:p w14:paraId="04D22B59" w14:textId="77777777" w:rsidR="00000000" w:rsidRDefault="00000000">
    <w:pPr>
      <w:tabs>
        <w:tab w:val="left" w:pos="1985"/>
      </w:tabs>
      <w:jc w:val="both"/>
      <w:rPr>
        <w:rFonts w:ascii="Arial" w:hAnsi="Arial"/>
      </w:rPr>
    </w:pPr>
  </w:p>
  <w:p w14:paraId="0DD59E3F" w14:textId="77777777" w:rsidR="00000000" w:rsidRDefault="00000000">
    <w:pPr>
      <w:spacing w:line="240" w:lineRule="exact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4B795" w14:textId="77777777" w:rsidR="00000000" w:rsidRDefault="00000000">
    <w:pPr>
      <w:pStyle w:val="Header"/>
      <w:pBdr>
        <w:bottom w:val="single" w:sz="12" w:space="1" w:color="auto"/>
      </w:pBdr>
      <w:rPr>
        <w:rFonts w:ascii="Verdana" w:hAnsi="Verdana"/>
        <w:sz w:val="20"/>
      </w:rPr>
    </w:pPr>
  </w:p>
  <w:p w14:paraId="0853CF09" w14:textId="77777777" w:rsidR="00000000" w:rsidRDefault="00000000">
    <w:pPr>
      <w:pStyle w:val="Header"/>
      <w:rPr>
        <w:rFonts w:ascii="Verdana" w:hAnsi="Verdana"/>
        <w:sz w:val="20"/>
      </w:rPr>
    </w:pPr>
  </w:p>
  <w:p w14:paraId="123A4225" w14:textId="77777777" w:rsidR="00000000" w:rsidRDefault="00000000">
    <w:pPr>
      <w:pStyle w:val="Header"/>
      <w:rPr>
        <w:rFonts w:ascii="Verdana" w:hAnsi="Verdana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84D12"/>
    <w:multiLevelType w:val="singleLevel"/>
    <w:tmpl w:val="CE0E6B7A"/>
    <w:lvl w:ilvl="0">
      <w:start w:val="1"/>
      <w:numFmt w:val="bullet"/>
      <w:lvlText w:val="-"/>
      <w:lvlJc w:val="left"/>
      <w:pPr>
        <w:tabs>
          <w:tab w:val="num" w:pos="2628"/>
        </w:tabs>
        <w:ind w:left="2628" w:hanging="360"/>
      </w:pPr>
      <w:rPr>
        <w:rFonts w:ascii="Times New Roman" w:hAnsi="Times New Roman" w:hint="default"/>
      </w:rPr>
    </w:lvl>
  </w:abstractNum>
  <w:abstractNum w:abstractNumId="1" w15:restartNumberingAfterBreak="0">
    <w:nsid w:val="1CE66CF1"/>
    <w:multiLevelType w:val="singleLevel"/>
    <w:tmpl w:val="41A49F98"/>
    <w:lvl w:ilvl="0">
      <w:start w:val="1"/>
      <w:numFmt w:val="lowerLetter"/>
      <w:lvlText w:val="%1)"/>
      <w:lvlJc w:val="left"/>
      <w:pPr>
        <w:tabs>
          <w:tab w:val="num" w:pos="2628"/>
        </w:tabs>
        <w:ind w:left="2628" w:hanging="360"/>
      </w:pPr>
      <w:rPr>
        <w:rFonts w:hint="default"/>
      </w:rPr>
    </w:lvl>
  </w:abstractNum>
  <w:abstractNum w:abstractNumId="2" w15:restartNumberingAfterBreak="0">
    <w:nsid w:val="2AE42191"/>
    <w:multiLevelType w:val="singleLevel"/>
    <w:tmpl w:val="007CF4F0"/>
    <w:lvl w:ilvl="0">
      <w:start w:val="1"/>
      <w:numFmt w:val="lowerLetter"/>
      <w:lvlText w:val="%1)"/>
      <w:lvlJc w:val="left"/>
      <w:pPr>
        <w:tabs>
          <w:tab w:val="num" w:pos="2628"/>
        </w:tabs>
        <w:ind w:left="2628" w:hanging="360"/>
      </w:pPr>
      <w:rPr>
        <w:rFonts w:hint="default"/>
      </w:rPr>
    </w:lvl>
  </w:abstractNum>
  <w:abstractNum w:abstractNumId="3" w15:restartNumberingAfterBreak="0">
    <w:nsid w:val="36674E65"/>
    <w:multiLevelType w:val="singleLevel"/>
    <w:tmpl w:val="8B4C5662"/>
    <w:lvl w:ilvl="0">
      <w:start w:val="1"/>
      <w:numFmt w:val="lowerLetter"/>
      <w:lvlText w:val="%1)"/>
      <w:lvlJc w:val="left"/>
      <w:pPr>
        <w:tabs>
          <w:tab w:val="num" w:pos="2345"/>
        </w:tabs>
        <w:ind w:left="2345" w:hanging="360"/>
      </w:pPr>
      <w:rPr>
        <w:rFonts w:hint="default"/>
      </w:rPr>
    </w:lvl>
  </w:abstractNum>
  <w:abstractNum w:abstractNumId="4" w15:restartNumberingAfterBreak="0">
    <w:nsid w:val="41E82363"/>
    <w:multiLevelType w:val="singleLevel"/>
    <w:tmpl w:val="9CB8E8E4"/>
    <w:lvl w:ilvl="0">
      <w:start w:val="1"/>
      <w:numFmt w:val="decimal"/>
      <w:lvlText w:val="%1)"/>
      <w:lvlJc w:val="left"/>
      <w:pPr>
        <w:tabs>
          <w:tab w:val="num" w:pos="2628"/>
        </w:tabs>
        <w:ind w:left="2628" w:hanging="360"/>
      </w:pPr>
      <w:rPr>
        <w:rFonts w:hint="default"/>
      </w:rPr>
    </w:lvl>
  </w:abstractNum>
  <w:abstractNum w:abstractNumId="5" w15:restartNumberingAfterBreak="0">
    <w:nsid w:val="42266DE1"/>
    <w:multiLevelType w:val="singleLevel"/>
    <w:tmpl w:val="49A256A2"/>
    <w:lvl w:ilvl="0">
      <w:start w:val="1"/>
      <w:numFmt w:val="decimal"/>
      <w:lvlText w:val="%1)"/>
      <w:lvlJc w:val="left"/>
      <w:pPr>
        <w:tabs>
          <w:tab w:val="num" w:pos="2628"/>
        </w:tabs>
        <w:ind w:left="2628" w:hanging="360"/>
      </w:pPr>
      <w:rPr>
        <w:rFonts w:hint="default"/>
      </w:rPr>
    </w:lvl>
  </w:abstractNum>
  <w:abstractNum w:abstractNumId="6" w15:restartNumberingAfterBreak="0">
    <w:nsid w:val="45690B95"/>
    <w:multiLevelType w:val="singleLevel"/>
    <w:tmpl w:val="1F64AA3C"/>
    <w:lvl w:ilvl="0">
      <w:start w:val="1"/>
      <w:numFmt w:val="decimal"/>
      <w:lvlText w:val="%1)"/>
      <w:lvlJc w:val="left"/>
      <w:pPr>
        <w:tabs>
          <w:tab w:val="num" w:pos="2628"/>
        </w:tabs>
        <w:ind w:left="2628" w:hanging="360"/>
      </w:pPr>
      <w:rPr>
        <w:rFonts w:hint="default"/>
      </w:rPr>
    </w:lvl>
  </w:abstractNum>
  <w:abstractNum w:abstractNumId="7" w15:restartNumberingAfterBreak="0">
    <w:nsid w:val="4C5E0140"/>
    <w:multiLevelType w:val="singleLevel"/>
    <w:tmpl w:val="8DC2E3AE"/>
    <w:lvl w:ilvl="0">
      <w:start w:val="1"/>
      <w:numFmt w:val="lowerLetter"/>
      <w:pStyle w:val="Palestras-a"/>
      <w:lvlText w:val="%1)"/>
      <w:lvlJc w:val="left"/>
      <w:pPr>
        <w:tabs>
          <w:tab w:val="num" w:pos="3402"/>
        </w:tabs>
        <w:ind w:left="3402" w:hanging="567"/>
      </w:pPr>
    </w:lvl>
  </w:abstractNum>
  <w:abstractNum w:abstractNumId="8" w15:restartNumberingAfterBreak="0">
    <w:nsid w:val="53202E92"/>
    <w:multiLevelType w:val="singleLevel"/>
    <w:tmpl w:val="A77E3892"/>
    <w:lvl w:ilvl="0">
      <w:start w:val="1"/>
      <w:numFmt w:val="upperRoman"/>
      <w:pStyle w:val="Palestras-Captulo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32"/>
        <w:u w:val="single"/>
      </w:rPr>
    </w:lvl>
  </w:abstractNum>
  <w:abstractNum w:abstractNumId="9" w15:restartNumberingAfterBreak="0">
    <w:nsid w:val="5E2507FF"/>
    <w:multiLevelType w:val="singleLevel"/>
    <w:tmpl w:val="EFE6144E"/>
    <w:lvl w:ilvl="0">
      <w:start w:val="1"/>
      <w:numFmt w:val="lowerLetter"/>
      <w:lvlText w:val="%1)"/>
      <w:lvlJc w:val="left"/>
      <w:pPr>
        <w:tabs>
          <w:tab w:val="num" w:pos="1777"/>
        </w:tabs>
        <w:ind w:left="1777" w:hanging="360"/>
      </w:pPr>
      <w:rPr>
        <w:rFonts w:hint="default"/>
      </w:rPr>
    </w:lvl>
  </w:abstractNum>
  <w:abstractNum w:abstractNumId="10" w15:restartNumberingAfterBreak="0">
    <w:nsid w:val="5E54186A"/>
    <w:multiLevelType w:val="singleLevel"/>
    <w:tmpl w:val="8CAAF42E"/>
    <w:lvl w:ilvl="0">
      <w:start w:val="1"/>
      <w:numFmt w:val="decimal"/>
      <w:lvlText w:val="%1)"/>
      <w:lvlJc w:val="left"/>
      <w:pPr>
        <w:tabs>
          <w:tab w:val="num" w:pos="2628"/>
        </w:tabs>
        <w:ind w:left="2628" w:hanging="360"/>
      </w:pPr>
      <w:rPr>
        <w:rFonts w:hint="default"/>
      </w:rPr>
    </w:lvl>
  </w:abstractNum>
  <w:abstractNum w:abstractNumId="11" w15:restartNumberingAfterBreak="0">
    <w:nsid w:val="68850064"/>
    <w:multiLevelType w:val="singleLevel"/>
    <w:tmpl w:val="305A7C94"/>
    <w:lvl w:ilvl="0">
      <w:start w:val="1"/>
      <w:numFmt w:val="decimal"/>
      <w:pStyle w:val="Palestras-1"/>
      <w:lvlText w:val="%1)"/>
      <w:lvlJc w:val="left"/>
      <w:pPr>
        <w:tabs>
          <w:tab w:val="num" w:pos="2835"/>
        </w:tabs>
        <w:ind w:left="2835" w:hanging="567"/>
      </w:pPr>
    </w:lvl>
  </w:abstractNum>
  <w:abstractNum w:abstractNumId="12" w15:restartNumberingAfterBreak="0">
    <w:nsid w:val="72C37EA3"/>
    <w:multiLevelType w:val="multilevel"/>
    <w:tmpl w:val="0D9C60DC"/>
    <w:lvl w:ilvl="0">
      <w:start w:val="1"/>
      <w:numFmt w:val="upperRoman"/>
      <w:pStyle w:val="Palestras-Nveis"/>
      <w:lvlText w:val="%1."/>
      <w:lvlJc w:val="left"/>
      <w:pPr>
        <w:tabs>
          <w:tab w:val="num" w:pos="720"/>
        </w:tabs>
        <w:ind w:left="567" w:hanging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32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)"/>
      <w:lvlJc w:val="left"/>
      <w:pPr>
        <w:tabs>
          <w:tab w:val="num" w:pos="2835"/>
        </w:tabs>
        <w:ind w:left="2835" w:hanging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lowerLetter"/>
      <w:lvlText w:val="%3)"/>
      <w:lvlJc w:val="left"/>
      <w:pPr>
        <w:tabs>
          <w:tab w:val="num" w:pos="3232"/>
        </w:tabs>
        <w:ind w:left="3232" w:hanging="39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568832753">
    <w:abstractNumId w:val="8"/>
  </w:num>
  <w:num w:numId="2" w16cid:durableId="1971588449">
    <w:abstractNumId w:val="11"/>
  </w:num>
  <w:num w:numId="3" w16cid:durableId="2104497805">
    <w:abstractNumId w:val="8"/>
  </w:num>
  <w:num w:numId="4" w16cid:durableId="1203175819">
    <w:abstractNumId w:val="11"/>
  </w:num>
  <w:num w:numId="5" w16cid:durableId="1347176159">
    <w:abstractNumId w:val="7"/>
  </w:num>
  <w:num w:numId="6" w16cid:durableId="204102222">
    <w:abstractNumId w:val="12"/>
  </w:num>
  <w:num w:numId="7" w16cid:durableId="771588091">
    <w:abstractNumId w:val="12"/>
  </w:num>
  <w:num w:numId="8" w16cid:durableId="106169648">
    <w:abstractNumId w:val="8"/>
  </w:num>
  <w:num w:numId="9" w16cid:durableId="729573601">
    <w:abstractNumId w:val="11"/>
  </w:num>
  <w:num w:numId="10" w16cid:durableId="1470510401">
    <w:abstractNumId w:val="11"/>
  </w:num>
  <w:num w:numId="11" w16cid:durableId="1293288339">
    <w:abstractNumId w:val="7"/>
  </w:num>
  <w:num w:numId="12" w16cid:durableId="1534614645">
    <w:abstractNumId w:val="11"/>
  </w:num>
  <w:num w:numId="13" w16cid:durableId="778719886">
    <w:abstractNumId w:val="7"/>
  </w:num>
  <w:num w:numId="14" w16cid:durableId="1540585313">
    <w:abstractNumId w:val="7"/>
  </w:num>
  <w:num w:numId="15" w16cid:durableId="490104862">
    <w:abstractNumId w:val="11"/>
  </w:num>
  <w:num w:numId="16" w16cid:durableId="145978256">
    <w:abstractNumId w:val="7"/>
  </w:num>
  <w:num w:numId="17" w16cid:durableId="506138572">
    <w:abstractNumId w:val="8"/>
  </w:num>
  <w:num w:numId="18" w16cid:durableId="1044865306">
    <w:abstractNumId w:val="3"/>
  </w:num>
  <w:num w:numId="19" w16cid:durableId="1702629286">
    <w:abstractNumId w:val="2"/>
  </w:num>
  <w:num w:numId="20" w16cid:durableId="2095586335">
    <w:abstractNumId w:val="9"/>
  </w:num>
  <w:num w:numId="21" w16cid:durableId="126779167">
    <w:abstractNumId w:val="4"/>
  </w:num>
  <w:num w:numId="22" w16cid:durableId="796022510">
    <w:abstractNumId w:val="6"/>
  </w:num>
  <w:num w:numId="23" w16cid:durableId="759521820">
    <w:abstractNumId w:val="1"/>
  </w:num>
  <w:num w:numId="24" w16cid:durableId="107817026">
    <w:abstractNumId w:val="5"/>
  </w:num>
  <w:num w:numId="25" w16cid:durableId="635843719">
    <w:abstractNumId w:val="0"/>
  </w:num>
  <w:num w:numId="26" w16cid:durableId="12937098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activeWritingStyle w:appName="MSWord" w:lang="en-US" w:vendorID="8" w:dllVersion="513" w:checkStyle="1"/>
  <w:activeWritingStyle w:appName="MSWord" w:lang="pt-BR" w:vendorID="1" w:dllVersion="513" w:checkStyle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1F"/>
    <w:rsid w:val="00475842"/>
    <w:rsid w:val="00AD0B1F"/>
    <w:rsid w:val="00E6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8E7E49F"/>
  <w15:chartTrackingRefBased/>
  <w15:docId w15:val="{D8195FF3-88DF-BA4F-A418-A68BCF00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4">
    <w:name w:val="heading 4"/>
    <w:basedOn w:val="Normal"/>
    <w:next w:val="Normal"/>
    <w:qFormat/>
    <w:pPr>
      <w:keepNext/>
      <w:widowControl w:val="0"/>
      <w:tabs>
        <w:tab w:val="center" w:pos="4819"/>
      </w:tabs>
      <w:jc w:val="both"/>
      <w:outlineLvl w:val="3"/>
    </w:pPr>
    <w:rPr>
      <w:rFonts w:ascii="Arial" w:hAnsi="Arial"/>
      <w:b/>
      <w:i/>
      <w:smallCaps/>
      <w:snapToGrid w:val="0"/>
      <w:sz w:val="40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lestras">
    <w:name w:val="Palestras"/>
    <w:basedOn w:val="Normal"/>
    <w:autoRedefine/>
    <w:pPr>
      <w:keepNext/>
      <w:keepLines/>
      <w:spacing w:line="360" w:lineRule="auto"/>
      <w:ind w:firstLine="2268"/>
      <w:jc w:val="both"/>
    </w:pPr>
    <w:rPr>
      <w:rFonts w:ascii="Arial" w:hAnsi="Arial"/>
      <w:sz w:val="28"/>
    </w:rPr>
  </w:style>
  <w:style w:type="paragraph" w:customStyle="1" w:styleId="Palestras-Transcrio">
    <w:name w:val="Palestras - Transcrição"/>
    <w:basedOn w:val="Palestras"/>
    <w:autoRedefine/>
    <w:pPr>
      <w:spacing w:line="240" w:lineRule="auto"/>
      <w:ind w:left="2268" w:firstLine="1134"/>
    </w:pPr>
    <w:rPr>
      <w:i/>
      <w:sz w:val="24"/>
    </w:rPr>
  </w:style>
  <w:style w:type="paragraph" w:customStyle="1" w:styleId="Palestras-Ttulo">
    <w:name w:val="Palestras - Título"/>
    <w:basedOn w:val="Palestras"/>
    <w:autoRedefine/>
    <w:pPr>
      <w:spacing w:line="240" w:lineRule="auto"/>
      <w:ind w:firstLine="0"/>
      <w:jc w:val="center"/>
    </w:pPr>
    <w:rPr>
      <w:b/>
      <w:i/>
      <w:smallCaps/>
      <w:sz w:val="36"/>
      <w:u w:val="words"/>
    </w:rPr>
  </w:style>
  <w:style w:type="paragraph" w:customStyle="1" w:styleId="Palestra-Captulo">
    <w:name w:val="Palestra - Capítulo"/>
    <w:basedOn w:val="Palestras"/>
    <w:next w:val="Palestras"/>
    <w:autoRedefine/>
    <w:pPr>
      <w:tabs>
        <w:tab w:val="left" w:pos="1134"/>
      </w:tabs>
      <w:spacing w:before="240" w:after="120" w:line="240" w:lineRule="auto"/>
      <w:ind w:firstLine="0"/>
    </w:pPr>
    <w:rPr>
      <w:b/>
      <w:smallCaps/>
      <w:sz w:val="32"/>
      <w:u w:val="single"/>
    </w:rPr>
  </w:style>
  <w:style w:type="paragraph" w:customStyle="1" w:styleId="Palestras-1">
    <w:name w:val="Palestras - 1..."/>
    <w:basedOn w:val="Palestras"/>
    <w:autoRedefine/>
    <w:pPr>
      <w:numPr>
        <w:numId w:val="15"/>
      </w:numPr>
      <w:outlineLvl w:val="0"/>
    </w:pPr>
    <w:rPr>
      <w:noProof/>
    </w:rPr>
  </w:style>
  <w:style w:type="paragraph" w:customStyle="1" w:styleId="Palestras-Captulo">
    <w:name w:val="Palestras - Capítulo"/>
    <w:basedOn w:val="Palestras"/>
    <w:next w:val="Palestras"/>
    <w:autoRedefine/>
    <w:pPr>
      <w:numPr>
        <w:numId w:val="17"/>
      </w:numPr>
      <w:tabs>
        <w:tab w:val="clear" w:pos="851"/>
        <w:tab w:val="num" w:pos="567"/>
      </w:tabs>
      <w:spacing w:before="480" w:after="240" w:line="240" w:lineRule="auto"/>
      <w:ind w:left="567" w:hanging="567"/>
    </w:pPr>
    <w:rPr>
      <w:b/>
      <w:smallCaps/>
      <w:sz w:val="32"/>
      <w:u w:val="single"/>
    </w:rPr>
  </w:style>
  <w:style w:type="paragraph" w:customStyle="1" w:styleId="Palestras-a">
    <w:name w:val="Palestras - a..."/>
    <w:basedOn w:val="Palestras"/>
    <w:autoRedefine/>
    <w:pPr>
      <w:numPr>
        <w:numId w:val="16"/>
      </w:numPr>
    </w:pPr>
  </w:style>
  <w:style w:type="paragraph" w:customStyle="1" w:styleId="Palestras-Nveis">
    <w:name w:val="Palestras - Níveis"/>
    <w:basedOn w:val="Palestras"/>
    <w:autoRedefine/>
    <w:pPr>
      <w:numPr>
        <w:numId w:val="7"/>
      </w:numPr>
      <w:tabs>
        <w:tab w:val="left" w:pos="567"/>
        <w:tab w:val="left" w:pos="2835"/>
        <w:tab w:val="left" w:pos="3232"/>
      </w:tabs>
    </w:pPr>
    <w:rPr>
      <w:b/>
      <w:u w:val="single"/>
    </w:rPr>
  </w:style>
  <w:style w:type="paragraph" w:customStyle="1" w:styleId="QuickFormat1">
    <w:name w:val="QuickFormat1"/>
    <w:basedOn w:val="Normal"/>
    <w:pPr>
      <w:widowControl w:val="0"/>
      <w:spacing w:after="160"/>
    </w:pPr>
    <w:rPr>
      <w:rFonts w:ascii="Arial" w:hAnsi="Arial"/>
      <w:b/>
      <w:smallCaps/>
      <w:snapToGrid w:val="0"/>
      <w:color w:val="000000"/>
      <w:sz w:val="32"/>
      <w:u w:val="single"/>
      <w:lang w:val="en-US"/>
    </w:rPr>
  </w:style>
  <w:style w:type="paragraph" w:styleId="Header">
    <w:name w:val="header"/>
    <w:basedOn w:val="Normal"/>
    <w:semiHidden/>
    <w:pPr>
      <w:widowControl w:val="0"/>
      <w:tabs>
        <w:tab w:val="center" w:pos="4419"/>
        <w:tab w:val="right" w:pos="8838"/>
      </w:tabs>
    </w:pPr>
    <w:rPr>
      <w:snapToGrid w:val="0"/>
      <w:sz w:val="24"/>
      <w:lang w:val="en-US"/>
    </w:rPr>
  </w:style>
  <w:style w:type="paragraph" w:styleId="Footer">
    <w:name w:val="footer"/>
    <w:basedOn w:val="Normal"/>
    <w:semiHidden/>
    <w:pPr>
      <w:widowControl w:val="0"/>
      <w:tabs>
        <w:tab w:val="center" w:pos="4419"/>
        <w:tab w:val="right" w:pos="8838"/>
      </w:tabs>
    </w:pPr>
    <w:rPr>
      <w:snapToGrid w:val="0"/>
      <w:sz w:val="24"/>
      <w:lang w:val="en-US"/>
    </w:rPr>
  </w:style>
  <w:style w:type="paragraph" w:styleId="BodyTextIndent">
    <w:name w:val="Body Text Indent"/>
    <w:basedOn w:val="Normal"/>
    <w:semiHidden/>
    <w:pPr>
      <w:widowControl w:val="0"/>
      <w:tabs>
        <w:tab w:val="left" w:pos="1985"/>
      </w:tabs>
      <w:spacing w:after="210" w:line="360" w:lineRule="auto"/>
      <w:ind w:firstLine="1985"/>
      <w:jc w:val="both"/>
    </w:pPr>
    <w:rPr>
      <w:rFonts w:ascii="Arial" w:hAnsi="Arial"/>
      <w:snapToGrid w:val="0"/>
      <w:sz w:val="28"/>
    </w:rPr>
  </w:style>
  <w:style w:type="character" w:styleId="PageNumber">
    <w:name w:val="page number"/>
    <w:basedOn w:val="DefaultParagraphFont"/>
    <w:semiHidden/>
  </w:style>
  <w:style w:type="paragraph" w:customStyle="1" w:styleId="TNormal">
    <w:name w:val="TNormal"/>
    <w:basedOn w:val="Normal"/>
    <w:pPr>
      <w:spacing w:line="360" w:lineRule="auto"/>
      <w:ind w:firstLine="1417"/>
      <w:jc w:val="both"/>
    </w:pPr>
    <w:rPr>
      <w:sz w:val="24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2093</Words>
  <Characters>11933</Characters>
  <Application>Microsoft Office Word</Application>
  <DocSecurity>0</DocSecurity>
  <Lines>99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Código de Defesa do Consumidor e o Novo Código Civil (Temas Limítrofes)</vt:lpstr>
    </vt:vector>
  </TitlesOfParts>
  <Manager>César Maciel</Manager>
  <Company>SUPERIOR TRIBUNAL DE JUSTIÇA</Company>
  <LinksUpToDate>false</LinksUpToDate>
  <CharactersWithSpaces>13999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Código de Defesa do Consumidor e o Novo Código Civil (Temas Limítrofes)</dc:title>
  <dc:subject/>
  <dc:creator>Min. Eliana Calmon</dc:creator>
  <cp:keywords/>
  <dc:description>Evento: IV Encontro Nacional da 3ª Câmara de Coordenação e Revisão do MPF_x000d_
Tema: idem_x000d_
Local: Auditório da PGR_x000d_
Cidade: Brasília-DF_x000d_
Data: 27 de novembro de 2002</dc:description>
  <cp:lastModifiedBy>Roberto Duarte</cp:lastModifiedBy>
  <cp:revision>2</cp:revision>
  <cp:lastPrinted>2002-11-29T19:33:00Z</cp:lastPrinted>
  <dcterms:created xsi:type="dcterms:W3CDTF">2024-11-18T16:26:00Z</dcterms:created>
  <dcterms:modified xsi:type="dcterms:W3CDTF">2024-11-18T16:26:00Z</dcterms:modified>
</cp:coreProperties>
</file>