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940B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Algoritmo para Análise de Riscos Empresariais, Fiscais, Societários e Jurídicos a partir de um Contrato Social</w:t>
      </w:r>
    </w:p>
    <w:p w14:paraId="6EB70BF0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Objetivo:</w:t>
      </w:r>
    </w:p>
    <w:p w14:paraId="7F51DAE3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O algoritmo visa analisar um contrato social e identificar os </w:t>
      </w: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riscos empresariais, fiscais, societários e jurídicos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, conforme os riscos listados previamente. A análise será baseada na </w:t>
      </w: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presença ou ausência de cláusulas e informações essenciais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, sugerindo ações mitigatórias para cada risco identificado.</w:t>
      </w:r>
    </w:p>
    <w:p w14:paraId="02473B77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1FDF176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1C10798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Passo a Passo do Algoritmo</w:t>
      </w:r>
    </w:p>
    <w:p w14:paraId="654D1102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1. Entrada de Dados</w:t>
      </w:r>
    </w:p>
    <w:p w14:paraId="589272CE" w14:textId="77777777" w:rsidR="00ED6CA5" w:rsidRPr="00ED6CA5" w:rsidRDefault="00ED6CA5" w:rsidP="00ED6CA5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Receber o </w:t>
      </w: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texto completo do contrato social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.</w:t>
      </w:r>
    </w:p>
    <w:p w14:paraId="054B2F6B" w14:textId="77777777" w:rsidR="00ED6CA5" w:rsidRPr="00ED6CA5" w:rsidRDefault="00ED6CA5" w:rsidP="00ED6CA5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Converter o contrato social para um </w:t>
      </w: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formato processável (texto limpo)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, organizando em seções para análise.</w:t>
      </w:r>
    </w:p>
    <w:p w14:paraId="3066C289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4C9138B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141D11E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2. Verificação da Estrutura Básica do Contrato Social</w:t>
      </w:r>
    </w:p>
    <w:p w14:paraId="05005374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Nome Empresarial</w:t>
      </w:r>
    </w:p>
    <w:p w14:paraId="788E3DAA" w14:textId="77777777" w:rsidR="00ED6CA5" w:rsidRPr="00ED6CA5" w:rsidRDefault="00ED6CA5" w:rsidP="00ED6CA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Identificar se o nome empresarial está corretamente formatado e inclui a designação da sociedade ("Ltda").</w:t>
      </w:r>
    </w:p>
    <w:p w14:paraId="03E08944" w14:textId="77777777" w:rsidR="00ED6CA5" w:rsidRPr="00ED6CA5" w:rsidRDefault="00ED6CA5" w:rsidP="00ED6CA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Nome empresarial ausente ou incorreto pode gerar problemas de reconhecimento legal da empresa.</w:t>
      </w:r>
    </w:p>
    <w:p w14:paraId="57FE9566" w14:textId="77777777" w:rsidR="00ED6CA5" w:rsidRPr="00ED6CA5" w:rsidRDefault="00ED6CA5" w:rsidP="00ED6CA5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Garantir que o nome empresarial esteja conforme o Código Civil e registrado na Junta Comercial.</w:t>
      </w:r>
    </w:p>
    <w:p w14:paraId="5CB63D86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Objeto Social</w:t>
      </w:r>
    </w:p>
    <w:p w14:paraId="566324DB" w14:textId="77777777" w:rsidR="00ED6CA5" w:rsidRPr="00ED6CA5" w:rsidRDefault="00ED6CA5" w:rsidP="00ED6CA5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Analisar se a descrição das atividades da empresa está detalhada e alinhada ao CNAE.</w:t>
      </w:r>
    </w:p>
    <w:p w14:paraId="3489C3F8" w14:textId="77777777" w:rsidR="00ED6CA5" w:rsidRPr="00ED6CA5" w:rsidRDefault="00ED6CA5" w:rsidP="00ED6CA5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Objeto social genérico ou incompatível com as atividades reais pode gerar restrições operacionais e problemas fiscais.</w:t>
      </w:r>
    </w:p>
    <w:p w14:paraId="242FD5D7" w14:textId="77777777" w:rsidR="00ED6CA5" w:rsidRPr="00ED6CA5" w:rsidRDefault="00ED6CA5" w:rsidP="00ED6CA5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Descrever com precisão as atividades da empresa, evitando termos genéricos que possam gerar questionamentos fiscais.</w:t>
      </w:r>
    </w:p>
    <w:p w14:paraId="5A2B5D4A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Capital Social</w:t>
      </w:r>
    </w:p>
    <w:p w14:paraId="4CA6C4F6" w14:textId="77777777" w:rsidR="00ED6CA5" w:rsidRPr="00ED6CA5" w:rsidRDefault="00ED6CA5" w:rsidP="00ED6CA5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Identificar se o capital social está definido com valor, forma de integralização e prazos estabelecidos.</w:t>
      </w:r>
    </w:p>
    <w:p w14:paraId="34DEEC7B" w14:textId="77777777" w:rsidR="00ED6CA5" w:rsidRPr="00ED6CA5" w:rsidRDefault="00ED6CA5" w:rsidP="00ED6CA5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Integralização sem prazo definido pode gerar insegurança jurídica e desentendimentos entre sócios.</w:t>
      </w:r>
    </w:p>
    <w:p w14:paraId="6722FFBA" w14:textId="77777777" w:rsidR="00ED6CA5" w:rsidRPr="00ED6CA5" w:rsidRDefault="00ED6CA5" w:rsidP="00ED6CA5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Estabelecer um prazo claro para a integralização do capital.</w:t>
      </w:r>
    </w:p>
    <w:p w14:paraId="44B962A1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Participação dos Sócios</w:t>
      </w:r>
    </w:p>
    <w:p w14:paraId="17098F16" w14:textId="77777777" w:rsidR="00ED6CA5" w:rsidRPr="00ED6CA5" w:rsidRDefault="00ED6CA5" w:rsidP="00ED6CA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lastRenderedPageBreak/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Confirmar a presença de cláusulas sobre a divisão de quotas e regras para entrada e saída de sócios.</w:t>
      </w:r>
    </w:p>
    <w:p w14:paraId="64C2F53D" w14:textId="77777777" w:rsidR="00ED6CA5" w:rsidRPr="00ED6CA5" w:rsidRDefault="00ED6CA5" w:rsidP="00ED6CA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Participação indefinida pode gerar disputas sobre divisão de lucros e responsabilidades.</w:t>
      </w:r>
    </w:p>
    <w:p w14:paraId="2647127C" w14:textId="77777777" w:rsidR="00ED6CA5" w:rsidRPr="00ED6CA5" w:rsidRDefault="00ED6CA5" w:rsidP="00ED6CA5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Definir no contrato a participação societária, incluindo critérios para entrada e saída de sócios.</w:t>
      </w:r>
    </w:p>
    <w:p w14:paraId="0F9CD30D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Administração da Sociedade</w:t>
      </w:r>
    </w:p>
    <w:p w14:paraId="0E594F73" w14:textId="77777777" w:rsidR="00ED6CA5" w:rsidRPr="00ED6CA5" w:rsidRDefault="00ED6CA5" w:rsidP="00ED6CA5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Identificar se há cláusulas que definem quem pode administrar e quais são seus poderes.</w:t>
      </w:r>
    </w:p>
    <w:p w14:paraId="1349AB53" w14:textId="77777777" w:rsidR="00ED6CA5" w:rsidRPr="00ED6CA5" w:rsidRDefault="00ED6CA5" w:rsidP="00ED6CA5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Falta de definição clara pode levar a conflitos internos e insegurança na governança.</w:t>
      </w:r>
    </w:p>
    <w:p w14:paraId="0C3E39A4" w14:textId="77777777" w:rsidR="00ED6CA5" w:rsidRPr="00ED6CA5" w:rsidRDefault="00ED6CA5" w:rsidP="00ED6CA5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Especificar no contrato quem pode administrar, seus poderes e limites, conforme o Código Civil.</w:t>
      </w:r>
    </w:p>
    <w:p w14:paraId="4A35FBAE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Distribuição de Lucros e Perdas</w:t>
      </w:r>
    </w:p>
    <w:p w14:paraId="14051768" w14:textId="77777777" w:rsidR="00ED6CA5" w:rsidRPr="00ED6CA5" w:rsidRDefault="00ED6CA5" w:rsidP="00ED6CA5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Identificar regras para distribuição de lucros e eventuais retenções fiscais.</w:t>
      </w:r>
    </w:p>
    <w:p w14:paraId="225FB86A" w14:textId="77777777" w:rsidR="00ED6CA5" w:rsidRPr="00ED6CA5" w:rsidRDefault="00ED6CA5" w:rsidP="00ED6CA5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Falta de critérios claros pode levar a disputas internas e autuações fiscais.</w:t>
      </w:r>
    </w:p>
    <w:p w14:paraId="4D3286DC" w14:textId="77777777" w:rsidR="00ED6CA5" w:rsidRPr="00ED6CA5" w:rsidRDefault="00ED6CA5" w:rsidP="00ED6CA5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Definir no contrato se a distribuição será proporcional às cotas ou se haverá outro critério.</w:t>
      </w:r>
    </w:p>
    <w:p w14:paraId="266C8349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Exclusão e Sucessão de Sócios</w:t>
      </w:r>
    </w:p>
    <w:p w14:paraId="2BF5476F" w14:textId="77777777" w:rsidR="00ED6CA5" w:rsidRPr="00ED6CA5" w:rsidRDefault="00ED6CA5" w:rsidP="00ED6CA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Identificar cláusulas para retirada voluntária, falecimento ou exclusão de sócios.</w:t>
      </w:r>
    </w:p>
    <w:p w14:paraId="7BC244D6" w14:textId="77777777" w:rsidR="00ED6CA5" w:rsidRPr="00ED6CA5" w:rsidRDefault="00ED6CA5" w:rsidP="00ED6CA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Falta de previsão pode dificultar a exclusão de sócios problemáticos e gerar litígios.</w:t>
      </w:r>
    </w:p>
    <w:p w14:paraId="66D7CBF0" w14:textId="77777777" w:rsidR="00ED6CA5" w:rsidRPr="00ED6CA5" w:rsidRDefault="00ED6CA5" w:rsidP="00ED6CA5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Incluir regras claras para exclusão e sucessão societária, estabelecendo direitos de preferência e resgate de cotas.</w:t>
      </w:r>
    </w:p>
    <w:p w14:paraId="7FB79C50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Resolução de Conflitos</w:t>
      </w:r>
    </w:p>
    <w:p w14:paraId="41F49901" w14:textId="77777777" w:rsidR="00ED6CA5" w:rsidRPr="00ED6CA5" w:rsidRDefault="00ED6CA5" w:rsidP="00ED6CA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Verificação: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Procurar cláusulas prevendo arbitragem, mediação ou foro específico.</w:t>
      </w:r>
    </w:p>
    <w:p w14:paraId="5F9EA370" w14:textId="77777777" w:rsidR="00ED6CA5" w:rsidRPr="00ED6CA5" w:rsidRDefault="00ED6CA5" w:rsidP="00ED6CA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Ausência de regras de resolução pode resultar em litígios longos e caros.</w:t>
      </w:r>
    </w:p>
    <w:p w14:paraId="63F0E4FD" w14:textId="77777777" w:rsidR="00ED6CA5" w:rsidRPr="00ED6CA5" w:rsidRDefault="00ED6CA5" w:rsidP="00ED6CA5">
      <w:pPr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Incluir cláusula de arbitragem ou mediação para evitar litígios prolongados.</w:t>
      </w:r>
    </w:p>
    <w:p w14:paraId="2B8DADEE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7A3A633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564C23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3. Análise de Riscos Empresariais</w:t>
      </w:r>
    </w:p>
    <w:p w14:paraId="0AB3E244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Objeto social inadequado</w:t>
      </w:r>
    </w:p>
    <w:p w14:paraId="31FBEE72" w14:textId="77777777" w:rsidR="00ED6CA5" w:rsidRPr="00ED6CA5" w:rsidRDefault="00ED6CA5" w:rsidP="00ED6CA5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Se for genérico ou incompatível, alertar sobre restrições operacionais e problemas de licenciamento.</w:t>
      </w:r>
    </w:p>
    <w:p w14:paraId="28F7578B" w14:textId="77777777" w:rsidR="00ED6CA5" w:rsidRPr="00ED6CA5" w:rsidRDefault="00ED6CA5" w:rsidP="00ED6CA5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Ajustar a descrição do objeto social conforme a atividade real e CNAE da empresa.</w:t>
      </w:r>
    </w:p>
    <w:p w14:paraId="33E637F4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Administração mal definida</w:t>
      </w:r>
    </w:p>
    <w:p w14:paraId="21FD57EB" w14:textId="77777777" w:rsidR="00ED6CA5" w:rsidRPr="00ED6CA5" w:rsidRDefault="00ED6CA5" w:rsidP="00ED6CA5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Alertar sobre riscos de conflitos societários e falhas na tomada de decisão.</w:t>
      </w:r>
    </w:p>
    <w:p w14:paraId="0F22A8C4" w14:textId="77777777" w:rsidR="00ED6CA5" w:rsidRPr="00ED6CA5" w:rsidRDefault="00ED6CA5" w:rsidP="00ED6CA5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Especificar claramente os poderes e obrigações dos administradores.</w:t>
      </w:r>
    </w:p>
    <w:p w14:paraId="3FB12B3D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lastRenderedPageBreak/>
        <w:t>Risco: Participação societária indefinida</w:t>
      </w:r>
    </w:p>
    <w:p w14:paraId="0AD49A4E" w14:textId="77777777" w:rsidR="00ED6CA5" w:rsidRPr="00ED6CA5" w:rsidRDefault="00ED6CA5" w:rsidP="00ED6CA5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Se não houver clareza sobre participação dos sócios, alertar para disputas futuras.</w:t>
      </w:r>
    </w:p>
    <w:p w14:paraId="19305F55" w14:textId="77777777" w:rsidR="00ED6CA5" w:rsidRPr="00ED6CA5" w:rsidRDefault="00ED6CA5" w:rsidP="00ED6CA5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Definir regras objetivas de participação e direitos societários.</w:t>
      </w:r>
    </w:p>
    <w:p w14:paraId="6FC5EDCF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Exclusão de sócios sem previsão contratual</w:t>
      </w:r>
    </w:p>
    <w:p w14:paraId="1741054E" w14:textId="77777777" w:rsidR="00ED6CA5" w:rsidRPr="00ED6CA5" w:rsidRDefault="00ED6CA5" w:rsidP="00ED6CA5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Alertar para dificuldades na remoção de sócios problemáticos.</w:t>
      </w:r>
    </w:p>
    <w:p w14:paraId="3475326A" w14:textId="77777777" w:rsidR="00ED6CA5" w:rsidRPr="00ED6CA5" w:rsidRDefault="00ED6CA5" w:rsidP="00ED6CA5">
      <w:pPr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Incluir cláusulas específicas para exclusão de sócios, com critérios objetivos.</w:t>
      </w:r>
    </w:p>
    <w:p w14:paraId="0F1BE560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2CFDAD9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C3B57B0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4. Análise de Riscos Fiscais</w:t>
      </w:r>
    </w:p>
    <w:p w14:paraId="4B9FBD2C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Falta de clareza sobre pró-labore</w:t>
      </w:r>
    </w:p>
    <w:p w14:paraId="4A2930B4" w14:textId="77777777" w:rsidR="00ED6CA5" w:rsidRPr="00ED6CA5" w:rsidRDefault="00ED6CA5" w:rsidP="00ED6CA5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Identificar risco de autuações fiscais por ausência de recolhimento de tributos previdenciários.</w:t>
      </w:r>
    </w:p>
    <w:p w14:paraId="293E3C90" w14:textId="77777777" w:rsidR="00ED6CA5" w:rsidRPr="00ED6CA5" w:rsidRDefault="00ED6CA5" w:rsidP="00ED6CA5">
      <w:pPr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Especificar pró-labore e sua tributação no contrato social.</w:t>
      </w:r>
    </w:p>
    <w:p w14:paraId="53A62B9D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Distribuição de lucros sem critérios fiscais definidos</w:t>
      </w:r>
    </w:p>
    <w:p w14:paraId="28E414EE" w14:textId="77777777" w:rsidR="00ED6CA5" w:rsidRPr="00ED6CA5" w:rsidRDefault="00ED6CA5" w:rsidP="00ED6CA5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Alertar para risco de questionamento pela Receita Federal.</w:t>
      </w:r>
    </w:p>
    <w:p w14:paraId="5103C1B5" w14:textId="77777777" w:rsidR="00ED6CA5" w:rsidRPr="00ED6CA5" w:rsidRDefault="00ED6CA5" w:rsidP="00ED6CA5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Antes de distribuir lucros, verificar se há débitos fiscais em aberto.</w:t>
      </w:r>
    </w:p>
    <w:p w14:paraId="182B0F07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Falta de distinção entre patrimônio pessoal e empresarial</w:t>
      </w:r>
    </w:p>
    <w:p w14:paraId="46EC43F4" w14:textId="77777777" w:rsidR="00ED6CA5" w:rsidRPr="00ED6CA5" w:rsidRDefault="00ED6CA5" w:rsidP="00ED6CA5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Alertar para risco de desconsideração da personalidade jurídica e responsabilização dos sócios.</w:t>
      </w:r>
    </w:p>
    <w:p w14:paraId="70F7BB42" w14:textId="77777777" w:rsidR="00ED6CA5" w:rsidRPr="00ED6CA5" w:rsidRDefault="00ED6CA5" w:rsidP="00ED6CA5">
      <w:pPr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Manter contas bancárias separadas para a empresa e os sócios.</w:t>
      </w:r>
    </w:p>
    <w:p w14:paraId="6AD7C816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1AF96DE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23F098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5. Análise de Riscos Societários e Jurídicos</w:t>
      </w:r>
    </w:p>
    <w:p w14:paraId="44D1FA1E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Sucessão de sócios indefinida</w:t>
      </w:r>
    </w:p>
    <w:p w14:paraId="46753753" w14:textId="77777777" w:rsidR="00ED6CA5" w:rsidRPr="00ED6CA5" w:rsidRDefault="00ED6CA5" w:rsidP="00ED6CA5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Se não houver cláusula de sucessão, alertar para possíveis disputas entre herdeiros.</w:t>
      </w:r>
    </w:p>
    <w:p w14:paraId="19D8509C" w14:textId="77777777" w:rsidR="00ED6CA5" w:rsidRPr="00ED6CA5" w:rsidRDefault="00ED6CA5" w:rsidP="00ED6CA5">
      <w:pPr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Definir no contrato regras claras para sucessão e direitos dos herdeiros.</w:t>
      </w:r>
    </w:p>
    <w:p w14:paraId="1A9921E7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Resolução de conflitos mal definida</w:t>
      </w:r>
    </w:p>
    <w:p w14:paraId="7FB65B5A" w14:textId="77777777" w:rsidR="00ED6CA5" w:rsidRPr="00ED6CA5" w:rsidRDefault="00ED6CA5" w:rsidP="00ED6CA5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Se não houver cláusulas claras, alertar para risco de longos processos judiciais.</w:t>
      </w:r>
    </w:p>
    <w:p w14:paraId="11DB93FE" w14:textId="77777777" w:rsidR="00ED6CA5" w:rsidRPr="00ED6CA5" w:rsidRDefault="00ED6CA5" w:rsidP="00ED6CA5">
      <w:pPr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Incluir cláusula de arbitragem, mediação ou foro específico para litígios.</w:t>
      </w:r>
    </w:p>
    <w:p w14:paraId="2FC93A56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3"/>
        <w:rPr>
          <w:rFonts w:eastAsia="Times New Roman"/>
          <w:b/>
          <w:bCs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Risco: Cláusulas que violam normas legais</w:t>
      </w:r>
    </w:p>
    <w:p w14:paraId="55CFBE85" w14:textId="77777777" w:rsidR="00ED6CA5" w:rsidRPr="00ED6CA5" w:rsidRDefault="00ED6CA5" w:rsidP="00ED6CA5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Análise: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Verificar se há cláusulas que contrariem o Código Civil e regulamentos aplicáveis.</w:t>
      </w:r>
    </w:p>
    <w:p w14:paraId="1DCCE6E2" w14:textId="77777777" w:rsidR="00ED6CA5" w:rsidRPr="00ED6CA5" w:rsidRDefault="00ED6CA5" w:rsidP="00ED6CA5">
      <w:pPr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Mitigação: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Ajustar cláusulas conforme as normas legais vigentes.</w:t>
      </w:r>
    </w:p>
    <w:p w14:paraId="58C23B86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6DFAB81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727233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lastRenderedPageBreak/>
        <w:t>6. Classificação e Priorização dos Riscos</w:t>
      </w:r>
    </w:p>
    <w:p w14:paraId="7793E54B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Os riscos identificados serão classificados conforme sua gravidade:</w:t>
      </w:r>
    </w:p>
    <w:p w14:paraId="7FD0551E" w14:textId="77777777" w:rsidR="00ED6CA5" w:rsidRPr="00ED6CA5" w:rsidRDefault="00ED6CA5" w:rsidP="00ED6CA5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Alto: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Pode comprometer diretamente a continuidade da empresa.</w:t>
      </w:r>
    </w:p>
    <w:p w14:paraId="765E6F3C" w14:textId="77777777" w:rsidR="00ED6CA5" w:rsidRPr="00ED6CA5" w:rsidRDefault="00ED6CA5" w:rsidP="00ED6CA5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Médio: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Pode gerar prejuízos financeiros ou operacionais significativos.</w:t>
      </w:r>
    </w:p>
    <w:p w14:paraId="1FDE3D12" w14:textId="77777777" w:rsidR="00ED6CA5" w:rsidRPr="00ED6CA5" w:rsidRDefault="00ED6CA5" w:rsidP="00ED6CA5">
      <w:pPr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bdr w:val="none" w:sz="0" w:space="0" w:color="auto"/>
          <w:lang w:val="en-BR"/>
        </w:rPr>
        <w:t>Baixo:</w:t>
      </w:r>
      <w:r w:rsidRPr="00ED6CA5">
        <w:rPr>
          <w:rFonts w:eastAsia="Times New Roman"/>
          <w:color w:val="000000"/>
          <w:bdr w:val="none" w:sz="0" w:space="0" w:color="auto"/>
          <w:lang w:val="en-BR"/>
        </w:rPr>
        <w:t> Risco de menor impacto, mas que pode evoluir se não corrigido.</w:t>
      </w:r>
    </w:p>
    <w:p w14:paraId="2BD9A126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4674735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07FED4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7. Saída de Dados</w:t>
      </w:r>
    </w:p>
    <w:p w14:paraId="68C7E48E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Gerar um relatório detalhado contendo:</w:t>
      </w:r>
    </w:p>
    <w:p w14:paraId="5797F7BF" w14:textId="77777777" w:rsidR="00ED6CA5" w:rsidRPr="00ED6CA5" w:rsidRDefault="00ED6CA5" w:rsidP="00ED6CA5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Riscos identificados.</w:t>
      </w:r>
    </w:p>
    <w:p w14:paraId="7C084442" w14:textId="77777777" w:rsidR="00ED6CA5" w:rsidRPr="00ED6CA5" w:rsidRDefault="00ED6CA5" w:rsidP="00ED6CA5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Ações sugeridas para mitigação.</w:t>
      </w:r>
    </w:p>
    <w:p w14:paraId="642F8B11" w14:textId="77777777" w:rsidR="00ED6CA5" w:rsidRPr="00ED6CA5" w:rsidRDefault="00ED6CA5" w:rsidP="00ED6CA5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Nível de severidade de cada risco.</w:t>
      </w:r>
    </w:p>
    <w:p w14:paraId="0EF6E505" w14:textId="77777777" w:rsidR="00ED6CA5" w:rsidRPr="00ED6CA5" w:rsidRDefault="00ED6CA5" w:rsidP="00ED6CA5">
      <w:pPr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Prazo sugerido para correção.</w:t>
      </w:r>
    </w:p>
    <w:p w14:paraId="30BC9C20" w14:textId="77777777" w:rsidR="00ED6CA5" w:rsidRPr="00ED6CA5" w:rsidRDefault="00FA2DC3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BR"/>
        </w:rPr>
      </w:pPr>
      <w:r w:rsidRPr="00FA2DC3">
        <w:rPr>
          <w:rFonts w:eastAsia="Times New Roman"/>
          <w:noProof/>
          <w:lang w:val="en-BR"/>
        </w:rPr>
        <w:pict w14:anchorId="7C7A95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BE5104" w14:textId="77777777" w:rsidR="00ED6CA5" w:rsidRPr="00ED6CA5" w:rsidRDefault="00ED6CA5" w:rsidP="00ED6CA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2"/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</w:pPr>
      <w:r w:rsidRPr="00ED6CA5">
        <w:rPr>
          <w:rFonts w:eastAsia="Times New Roman"/>
          <w:b/>
          <w:bCs/>
          <w:color w:val="000000"/>
          <w:sz w:val="27"/>
          <w:szCs w:val="27"/>
          <w:bdr w:val="none" w:sz="0" w:space="0" w:color="auto"/>
          <w:lang w:val="en-BR"/>
        </w:rPr>
        <w:t>8. Revisão e Monitoramento</w:t>
      </w:r>
    </w:p>
    <w:p w14:paraId="7636D4AD" w14:textId="77777777" w:rsidR="00ED6CA5" w:rsidRPr="00ED6CA5" w:rsidRDefault="00ED6CA5" w:rsidP="00ED6CA5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Monitorar a implementação das medidas sugeridas.</w:t>
      </w:r>
    </w:p>
    <w:p w14:paraId="3089E2F7" w14:textId="77777777" w:rsidR="00ED6CA5" w:rsidRPr="00ED6CA5" w:rsidRDefault="00ED6CA5" w:rsidP="00ED6CA5">
      <w:pPr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eastAsia="Times New Roman"/>
          <w:color w:val="000000"/>
          <w:bdr w:val="none" w:sz="0" w:space="0" w:color="auto"/>
          <w:lang w:val="en-BR"/>
        </w:rPr>
      </w:pPr>
      <w:r w:rsidRPr="00ED6CA5">
        <w:rPr>
          <w:rFonts w:eastAsia="Times New Roman"/>
          <w:color w:val="000000"/>
          <w:bdr w:val="none" w:sz="0" w:space="0" w:color="auto"/>
          <w:lang w:val="en-BR"/>
        </w:rPr>
        <w:t>Reavaliar o contrato social em caso de mudanças legislativas ou estruturais.</w:t>
      </w:r>
    </w:p>
    <w:p w14:paraId="146175B2" w14:textId="5DC87160" w:rsidR="00ED6CA5" w:rsidRPr="00ED6CA5" w:rsidRDefault="00ED6CA5" w:rsidP="00ED6CA5">
      <w:pPr>
        <w:pStyle w:val="Default"/>
        <w:spacing w:before="0" w:after="240" w:line="240" w:lineRule="auto"/>
        <w:rPr>
          <w:lang w:val="en-BR"/>
        </w:rPr>
      </w:pPr>
    </w:p>
    <w:sectPr w:rsidR="00ED6CA5" w:rsidRPr="00ED6CA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905C1" w14:textId="77777777" w:rsidR="00FA2DC3" w:rsidRDefault="00FA2DC3">
      <w:r>
        <w:separator/>
      </w:r>
    </w:p>
  </w:endnote>
  <w:endnote w:type="continuationSeparator" w:id="0">
    <w:p w14:paraId="132A45C3" w14:textId="77777777" w:rsidR="00FA2DC3" w:rsidRDefault="00FA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0A0FA" w14:textId="77777777" w:rsidR="005F30D2" w:rsidRDefault="005F30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8888D" w14:textId="77777777" w:rsidR="00FA2DC3" w:rsidRDefault="00FA2DC3">
      <w:r>
        <w:separator/>
      </w:r>
    </w:p>
  </w:footnote>
  <w:footnote w:type="continuationSeparator" w:id="0">
    <w:p w14:paraId="40487917" w14:textId="77777777" w:rsidR="00FA2DC3" w:rsidRDefault="00FA2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33B99" w14:textId="77777777" w:rsidR="005F30D2" w:rsidRDefault="005F30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49F1"/>
    <w:multiLevelType w:val="hybridMultilevel"/>
    <w:tmpl w:val="AADEB2B4"/>
    <w:styleLink w:val="BulletBig"/>
    <w:lvl w:ilvl="0" w:tplc="4F6675E8">
      <w:start w:val="1"/>
      <w:numFmt w:val="decimal"/>
      <w:lvlText w:val="%1."/>
      <w:lvlJc w:val="left"/>
      <w:pPr>
        <w:ind w:left="7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C78487DE">
      <w:start w:val="1"/>
      <w:numFmt w:val="decimal"/>
      <w:lvlText w:val="%2."/>
      <w:lvlJc w:val="left"/>
      <w:pPr>
        <w:ind w:left="12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F522172">
      <w:start w:val="1"/>
      <w:numFmt w:val="decimal"/>
      <w:lvlText w:val="%3."/>
      <w:lvlJc w:val="left"/>
      <w:pPr>
        <w:ind w:left="19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6CA8EC40">
      <w:start w:val="1"/>
      <w:numFmt w:val="decimal"/>
      <w:lvlText w:val="%4."/>
      <w:lvlJc w:val="left"/>
      <w:pPr>
        <w:ind w:left="26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ECFABB26">
      <w:start w:val="1"/>
      <w:numFmt w:val="decimal"/>
      <w:lvlText w:val="%5."/>
      <w:lvlJc w:val="left"/>
      <w:pPr>
        <w:ind w:left="33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49A81C62">
      <w:start w:val="1"/>
      <w:numFmt w:val="decimal"/>
      <w:lvlText w:val="%6."/>
      <w:lvlJc w:val="left"/>
      <w:pPr>
        <w:ind w:left="410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2648F9D8">
      <w:start w:val="1"/>
      <w:numFmt w:val="decimal"/>
      <w:lvlText w:val="%7."/>
      <w:lvlJc w:val="left"/>
      <w:pPr>
        <w:ind w:left="48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71F4FED6">
      <w:start w:val="1"/>
      <w:numFmt w:val="decimal"/>
      <w:lvlText w:val="%8."/>
      <w:lvlJc w:val="left"/>
      <w:pPr>
        <w:ind w:left="55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F6F4B71E">
      <w:start w:val="1"/>
      <w:numFmt w:val="decimal"/>
      <w:lvlText w:val="%9."/>
      <w:lvlJc w:val="left"/>
      <w:pPr>
        <w:ind w:left="62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" w15:restartNumberingAfterBreak="0">
    <w:nsid w:val="0E20245E"/>
    <w:multiLevelType w:val="multilevel"/>
    <w:tmpl w:val="D3C4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7F97"/>
    <w:multiLevelType w:val="multilevel"/>
    <w:tmpl w:val="53BE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27B74"/>
    <w:multiLevelType w:val="multilevel"/>
    <w:tmpl w:val="B1D4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14ACB"/>
    <w:multiLevelType w:val="multilevel"/>
    <w:tmpl w:val="10D4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A7D90"/>
    <w:multiLevelType w:val="multilevel"/>
    <w:tmpl w:val="91CC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9734C"/>
    <w:multiLevelType w:val="multilevel"/>
    <w:tmpl w:val="DA4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C484D"/>
    <w:multiLevelType w:val="multilevel"/>
    <w:tmpl w:val="CC88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75CE5"/>
    <w:multiLevelType w:val="multilevel"/>
    <w:tmpl w:val="0852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37366"/>
    <w:multiLevelType w:val="multilevel"/>
    <w:tmpl w:val="AABE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01BE7"/>
    <w:multiLevelType w:val="multilevel"/>
    <w:tmpl w:val="3B0C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A3080"/>
    <w:multiLevelType w:val="multilevel"/>
    <w:tmpl w:val="C0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04758"/>
    <w:multiLevelType w:val="multilevel"/>
    <w:tmpl w:val="782E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A169F"/>
    <w:multiLevelType w:val="multilevel"/>
    <w:tmpl w:val="24EC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571BDC"/>
    <w:multiLevelType w:val="multilevel"/>
    <w:tmpl w:val="D686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91321"/>
    <w:multiLevelType w:val="hybridMultilevel"/>
    <w:tmpl w:val="AADEB2B4"/>
    <w:numStyleLink w:val="BulletBig"/>
  </w:abstractNum>
  <w:abstractNum w:abstractNumId="16" w15:restartNumberingAfterBreak="0">
    <w:nsid w:val="550F71F8"/>
    <w:multiLevelType w:val="hybridMultilevel"/>
    <w:tmpl w:val="28E2AD90"/>
    <w:styleLink w:val="BulletBig0"/>
    <w:lvl w:ilvl="0" w:tplc="2078DC48">
      <w:start w:val="1"/>
      <w:numFmt w:val="bullet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5EC4E682">
      <w:start w:val="1"/>
      <w:numFmt w:val="bullet"/>
      <w:lvlText w:val="◦"/>
      <w:lvlJc w:val="left"/>
      <w:pPr>
        <w:ind w:left="14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A444CAA">
      <w:start w:val="1"/>
      <w:numFmt w:val="bullet"/>
      <w:lvlText w:val="▪"/>
      <w:lvlJc w:val="left"/>
      <w:pPr>
        <w:ind w:left="21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9F68C0B8">
      <w:start w:val="1"/>
      <w:numFmt w:val="bullet"/>
      <w:lvlText w:val="▪"/>
      <w:lvlJc w:val="left"/>
      <w:pPr>
        <w:ind w:left="28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DB3E66E0">
      <w:start w:val="1"/>
      <w:numFmt w:val="bullet"/>
      <w:lvlText w:val="▪"/>
      <w:lvlJc w:val="left"/>
      <w:pPr>
        <w:ind w:left="360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2CF65A9A">
      <w:start w:val="1"/>
      <w:numFmt w:val="bullet"/>
      <w:lvlText w:val="▪"/>
      <w:lvlJc w:val="left"/>
      <w:pPr>
        <w:ind w:left="432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47026CDE">
      <w:start w:val="1"/>
      <w:numFmt w:val="bullet"/>
      <w:lvlText w:val="▪"/>
      <w:lvlJc w:val="left"/>
      <w:pPr>
        <w:ind w:left="504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DC4CF9D6">
      <w:start w:val="1"/>
      <w:numFmt w:val="bullet"/>
      <w:lvlText w:val="▪"/>
      <w:lvlJc w:val="left"/>
      <w:pPr>
        <w:ind w:left="576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128A8A48">
      <w:start w:val="1"/>
      <w:numFmt w:val="bullet"/>
      <w:lvlText w:val="▪"/>
      <w:lvlJc w:val="left"/>
      <w:pPr>
        <w:ind w:left="6480" w:hanging="50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17" w15:restartNumberingAfterBreak="0">
    <w:nsid w:val="57E41CDD"/>
    <w:multiLevelType w:val="multilevel"/>
    <w:tmpl w:val="E698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E7A0E"/>
    <w:multiLevelType w:val="multilevel"/>
    <w:tmpl w:val="9DD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AD3CBA"/>
    <w:multiLevelType w:val="hybridMultilevel"/>
    <w:tmpl w:val="28E2AD90"/>
    <w:numStyleLink w:val="BulletBig0"/>
  </w:abstractNum>
  <w:abstractNum w:abstractNumId="20" w15:restartNumberingAfterBreak="0">
    <w:nsid w:val="5D4312A5"/>
    <w:multiLevelType w:val="multilevel"/>
    <w:tmpl w:val="C9CE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444FE"/>
    <w:multiLevelType w:val="multilevel"/>
    <w:tmpl w:val="2EE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3118D"/>
    <w:multiLevelType w:val="multilevel"/>
    <w:tmpl w:val="268C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A7280"/>
    <w:multiLevelType w:val="multilevel"/>
    <w:tmpl w:val="E38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03225"/>
    <w:multiLevelType w:val="multilevel"/>
    <w:tmpl w:val="FEDE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466C1"/>
    <w:multiLevelType w:val="multilevel"/>
    <w:tmpl w:val="8C8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146043">
    <w:abstractNumId w:val="0"/>
  </w:num>
  <w:num w:numId="2" w16cid:durableId="1216816783">
    <w:abstractNumId w:val="15"/>
  </w:num>
  <w:num w:numId="3" w16cid:durableId="308555568">
    <w:abstractNumId w:val="16"/>
  </w:num>
  <w:num w:numId="4" w16cid:durableId="1659385610">
    <w:abstractNumId w:val="19"/>
  </w:num>
  <w:num w:numId="5" w16cid:durableId="805465076">
    <w:abstractNumId w:val="15"/>
    <w:lvlOverride w:ilvl="0">
      <w:startOverride w:val="2"/>
    </w:lvlOverride>
  </w:num>
  <w:num w:numId="6" w16cid:durableId="2019581982">
    <w:abstractNumId w:val="15"/>
    <w:lvlOverride w:ilvl="0">
      <w:startOverride w:val="4"/>
    </w:lvlOverride>
  </w:num>
  <w:num w:numId="7" w16cid:durableId="1482768253">
    <w:abstractNumId w:val="15"/>
    <w:lvlOverride w:ilvl="0">
      <w:startOverride w:val="5"/>
    </w:lvlOverride>
  </w:num>
  <w:num w:numId="8" w16cid:durableId="464781402">
    <w:abstractNumId w:val="15"/>
    <w:lvlOverride w:ilvl="0">
      <w:startOverride w:val="6"/>
    </w:lvlOverride>
  </w:num>
  <w:num w:numId="9" w16cid:durableId="63529015">
    <w:abstractNumId w:val="15"/>
    <w:lvlOverride w:ilvl="0">
      <w:startOverride w:val="7"/>
      <w:lvl w:ilvl="0" w:tplc="14D8F70A">
        <w:start w:val="7"/>
        <w:numFmt w:val="decimal"/>
        <w:lvlText w:val="%1."/>
        <w:lvlJc w:val="left"/>
        <w:pPr>
          <w:ind w:left="7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CB143D26">
        <w:start w:val="1"/>
        <w:numFmt w:val="decimal"/>
        <w:lvlText w:val="%2."/>
        <w:lvlJc w:val="left"/>
        <w:pPr>
          <w:ind w:left="12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59129356">
        <w:start w:val="1"/>
        <w:numFmt w:val="decimal"/>
        <w:lvlText w:val="%3."/>
        <w:lvlJc w:val="left"/>
        <w:pPr>
          <w:ind w:left="19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BD0CFC5C">
        <w:start w:val="1"/>
        <w:numFmt w:val="decimal"/>
        <w:lvlText w:val="%4."/>
        <w:lvlJc w:val="left"/>
        <w:pPr>
          <w:ind w:left="26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0CBC0D02">
        <w:start w:val="1"/>
        <w:numFmt w:val="decimal"/>
        <w:lvlText w:val="%5."/>
        <w:lvlJc w:val="left"/>
        <w:pPr>
          <w:ind w:left="338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4DB2282C">
        <w:start w:val="1"/>
        <w:numFmt w:val="decimal"/>
        <w:lvlText w:val="%6."/>
        <w:lvlJc w:val="left"/>
        <w:pPr>
          <w:ind w:left="410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9C7CDA7C">
        <w:start w:val="1"/>
        <w:numFmt w:val="decimal"/>
        <w:lvlText w:val="%7."/>
        <w:lvlJc w:val="left"/>
        <w:pPr>
          <w:ind w:left="48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4C65D96">
        <w:start w:val="1"/>
        <w:numFmt w:val="decimal"/>
        <w:lvlText w:val="%8."/>
        <w:lvlJc w:val="left"/>
        <w:pPr>
          <w:ind w:left="55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CC48911C">
        <w:start w:val="1"/>
        <w:numFmt w:val="decimal"/>
        <w:lvlText w:val="%9."/>
        <w:lvlJc w:val="left"/>
        <w:pPr>
          <w:ind w:left="62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0" w16cid:durableId="30034392">
    <w:abstractNumId w:val="19"/>
    <w:lvlOverride w:ilvl="0">
      <w:lvl w:ilvl="0" w:tplc="77D463D4">
        <w:start w:val="1"/>
        <w:numFmt w:val="bullet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1C7E55FA">
        <w:start w:val="1"/>
        <w:numFmt w:val="bullet"/>
        <w:lvlText w:val="◦"/>
        <w:lvlJc w:val="left"/>
        <w:pPr>
          <w:ind w:left="14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D3805B7E">
        <w:start w:val="1"/>
        <w:numFmt w:val="bullet"/>
        <w:lvlText w:val="▪"/>
        <w:lvlJc w:val="left"/>
        <w:pPr>
          <w:ind w:left="21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8E8AD0BE">
        <w:start w:val="1"/>
        <w:numFmt w:val="bullet"/>
        <w:lvlText w:val="▪"/>
        <w:lvlJc w:val="left"/>
        <w:pPr>
          <w:ind w:left="288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AD34188C">
        <w:start w:val="1"/>
        <w:numFmt w:val="bullet"/>
        <w:lvlText w:val="▪"/>
        <w:lvlJc w:val="left"/>
        <w:pPr>
          <w:ind w:left="360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1D409132">
        <w:start w:val="1"/>
        <w:numFmt w:val="bullet"/>
        <w:lvlText w:val="▪"/>
        <w:lvlJc w:val="left"/>
        <w:pPr>
          <w:ind w:left="432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72628DC">
        <w:start w:val="1"/>
        <w:numFmt w:val="bullet"/>
        <w:lvlText w:val="▪"/>
        <w:lvlJc w:val="left"/>
        <w:pPr>
          <w:ind w:left="504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D324BC74">
        <w:start w:val="1"/>
        <w:numFmt w:val="bullet"/>
        <w:lvlText w:val="▪"/>
        <w:lvlJc w:val="left"/>
        <w:pPr>
          <w:ind w:left="576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36EA246E">
        <w:start w:val="1"/>
        <w:numFmt w:val="bullet"/>
        <w:lvlText w:val="▪"/>
        <w:lvlJc w:val="left"/>
        <w:pPr>
          <w:ind w:left="6480" w:hanging="50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1" w16cid:durableId="1155143200">
    <w:abstractNumId w:val="15"/>
    <w:lvlOverride w:ilvl="0">
      <w:startOverride w:val="8"/>
      <w:lvl w:ilvl="0" w:tplc="14D8F70A">
        <w:start w:val="8"/>
        <w:numFmt w:val="decimal"/>
        <w:lvlText w:val="%1."/>
        <w:lvlJc w:val="left"/>
        <w:pPr>
          <w:ind w:left="72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startOverride w:val="1"/>
      <w:lvl w:ilvl="1" w:tplc="CB143D26">
        <w:start w:val="1"/>
        <w:numFmt w:val="decimal"/>
        <w:lvlText w:val="%2."/>
        <w:lvlJc w:val="left"/>
        <w:pPr>
          <w:ind w:left="122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startOverride w:val="1"/>
      <w:lvl w:ilvl="2" w:tplc="59129356">
        <w:start w:val="1"/>
        <w:numFmt w:val="decimal"/>
        <w:lvlText w:val="%3."/>
        <w:lvlJc w:val="left"/>
        <w:pPr>
          <w:ind w:left="194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startOverride w:val="1"/>
      <w:lvl w:ilvl="3" w:tplc="BD0CFC5C">
        <w:start w:val="1"/>
        <w:numFmt w:val="decimal"/>
        <w:lvlText w:val="%4."/>
        <w:lvlJc w:val="left"/>
        <w:pPr>
          <w:ind w:left="266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startOverride w:val="1"/>
      <w:lvl w:ilvl="4" w:tplc="0CBC0D02">
        <w:start w:val="1"/>
        <w:numFmt w:val="decimal"/>
        <w:lvlText w:val="%5."/>
        <w:lvlJc w:val="left"/>
        <w:pPr>
          <w:ind w:left="338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startOverride w:val="1"/>
      <w:lvl w:ilvl="5" w:tplc="4DB2282C">
        <w:start w:val="1"/>
        <w:numFmt w:val="decimal"/>
        <w:lvlText w:val="%6."/>
        <w:lvlJc w:val="left"/>
        <w:pPr>
          <w:ind w:left="410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startOverride w:val="1"/>
      <w:lvl w:ilvl="6" w:tplc="9C7CDA7C">
        <w:start w:val="1"/>
        <w:numFmt w:val="decimal"/>
        <w:lvlText w:val="%7."/>
        <w:lvlJc w:val="left"/>
        <w:pPr>
          <w:ind w:left="482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startOverride w:val="1"/>
      <w:lvl w:ilvl="7" w:tplc="74C65D96">
        <w:start w:val="1"/>
        <w:numFmt w:val="decimal"/>
        <w:lvlText w:val="%8."/>
        <w:lvlJc w:val="left"/>
        <w:pPr>
          <w:ind w:left="554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startOverride w:val="1"/>
      <w:lvl w:ilvl="8" w:tplc="CC48911C">
        <w:start w:val="1"/>
        <w:numFmt w:val="decimal"/>
        <w:lvlText w:val="%9."/>
        <w:lvlJc w:val="left"/>
        <w:pPr>
          <w:ind w:left="626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2" w16cid:durableId="682706136">
    <w:abstractNumId w:val="19"/>
    <w:lvlOverride w:ilvl="0">
      <w:lvl w:ilvl="0" w:tplc="77D463D4">
        <w:start w:val="1"/>
        <w:numFmt w:val="bullet"/>
        <w:lvlText w:val="•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 w:tplc="1C7E55FA">
        <w:start w:val="1"/>
        <w:numFmt w:val="bullet"/>
        <w:lvlText w:val="◦"/>
        <w:lvlJc w:val="left"/>
        <w:pPr>
          <w:ind w:left="144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D3805B7E">
        <w:start w:val="1"/>
        <w:numFmt w:val="bullet"/>
        <w:lvlText w:val="◦"/>
        <w:lvlJc w:val="left"/>
        <w:pPr>
          <w:ind w:left="216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 w:tplc="8E8AD0BE">
        <w:start w:val="1"/>
        <w:numFmt w:val="bullet"/>
        <w:lvlText w:val="◦"/>
        <w:lvlJc w:val="left"/>
        <w:pPr>
          <w:ind w:left="288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AD34188C">
        <w:start w:val="1"/>
        <w:numFmt w:val="bullet"/>
        <w:lvlText w:val="◦"/>
        <w:lvlJc w:val="left"/>
        <w:pPr>
          <w:ind w:left="360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 w:tplc="1D409132">
        <w:start w:val="1"/>
        <w:numFmt w:val="bullet"/>
        <w:lvlText w:val="◦"/>
        <w:lvlJc w:val="left"/>
        <w:pPr>
          <w:ind w:left="432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972628DC">
        <w:start w:val="1"/>
        <w:numFmt w:val="bullet"/>
        <w:lvlText w:val="◦"/>
        <w:lvlJc w:val="left"/>
        <w:pPr>
          <w:ind w:left="504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 w:tplc="D324BC74">
        <w:start w:val="1"/>
        <w:numFmt w:val="bullet"/>
        <w:lvlText w:val="◦"/>
        <w:lvlJc w:val="left"/>
        <w:pPr>
          <w:ind w:left="576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36EA246E">
        <w:start w:val="1"/>
        <w:numFmt w:val="bullet"/>
        <w:lvlText w:val="◦"/>
        <w:lvlJc w:val="left"/>
        <w:pPr>
          <w:ind w:left="6480" w:hanging="500"/>
        </w:pPr>
        <w:rPr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13" w16cid:durableId="851799719">
    <w:abstractNumId w:val="13"/>
  </w:num>
  <w:num w:numId="14" w16cid:durableId="1387411106">
    <w:abstractNumId w:val="10"/>
  </w:num>
  <w:num w:numId="15" w16cid:durableId="19361630">
    <w:abstractNumId w:val="6"/>
  </w:num>
  <w:num w:numId="16" w16cid:durableId="1263225288">
    <w:abstractNumId w:val="8"/>
  </w:num>
  <w:num w:numId="17" w16cid:durableId="1832601834">
    <w:abstractNumId w:val="12"/>
  </w:num>
  <w:num w:numId="18" w16cid:durableId="2039157267">
    <w:abstractNumId w:val="25"/>
  </w:num>
  <w:num w:numId="19" w16cid:durableId="828131431">
    <w:abstractNumId w:val="1"/>
  </w:num>
  <w:num w:numId="20" w16cid:durableId="1345209315">
    <w:abstractNumId w:val="18"/>
  </w:num>
  <w:num w:numId="21" w16cid:durableId="1901018145">
    <w:abstractNumId w:val="4"/>
  </w:num>
  <w:num w:numId="22" w16cid:durableId="1201437933">
    <w:abstractNumId w:val="24"/>
  </w:num>
  <w:num w:numId="23" w16cid:durableId="718362722">
    <w:abstractNumId w:val="17"/>
  </w:num>
  <w:num w:numId="24" w16cid:durableId="340741275">
    <w:abstractNumId w:val="23"/>
  </w:num>
  <w:num w:numId="25" w16cid:durableId="1369256214">
    <w:abstractNumId w:val="7"/>
  </w:num>
  <w:num w:numId="26" w16cid:durableId="1469936933">
    <w:abstractNumId w:val="20"/>
  </w:num>
  <w:num w:numId="27" w16cid:durableId="506484185">
    <w:abstractNumId w:val="21"/>
  </w:num>
  <w:num w:numId="28" w16cid:durableId="359861492">
    <w:abstractNumId w:val="9"/>
  </w:num>
  <w:num w:numId="29" w16cid:durableId="744188139">
    <w:abstractNumId w:val="3"/>
  </w:num>
  <w:num w:numId="30" w16cid:durableId="1992326773">
    <w:abstractNumId w:val="11"/>
  </w:num>
  <w:num w:numId="31" w16cid:durableId="1140464235">
    <w:abstractNumId w:val="2"/>
  </w:num>
  <w:num w:numId="32" w16cid:durableId="1184125275">
    <w:abstractNumId w:val="5"/>
  </w:num>
  <w:num w:numId="33" w16cid:durableId="38207666">
    <w:abstractNumId w:val="14"/>
  </w:num>
  <w:num w:numId="34" w16cid:durableId="14120033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0D2"/>
    <w:rsid w:val="002D4573"/>
    <w:rsid w:val="005F30D2"/>
    <w:rsid w:val="00ED6CA5"/>
    <w:rsid w:val="00FA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3788F"/>
  <w15:docId w15:val="{E3AA2B2B-4F7C-DD4C-BF4E-75CEBD03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ED6C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BR"/>
    </w:rPr>
  </w:style>
  <w:style w:type="paragraph" w:styleId="Heading4">
    <w:name w:val="heading 4"/>
    <w:basedOn w:val="Normal"/>
    <w:link w:val="Heading4Char"/>
    <w:uiPriority w:val="9"/>
    <w:qFormat/>
    <w:rsid w:val="00ED6C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3"/>
    </w:pPr>
    <w:rPr>
      <w:rFonts w:eastAsia="Times New Roman"/>
      <w:b/>
      <w:bCs/>
      <w:bdr w:val="none" w:sz="0" w:space="0" w:color="auto"/>
      <w:lang w:val="en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1"/>
      </w:numPr>
    </w:pPr>
  </w:style>
  <w:style w:type="numbering" w:customStyle="1" w:styleId="BulletBig0">
    <w:name w:val="Bullet Big.0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ED6CA5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Heading4Char">
    <w:name w:val="Heading 4 Char"/>
    <w:basedOn w:val="DefaultParagraphFont"/>
    <w:link w:val="Heading4"/>
    <w:uiPriority w:val="9"/>
    <w:rsid w:val="00ED6CA5"/>
    <w:rPr>
      <w:rFonts w:eastAsia="Times New Roman"/>
      <w:b/>
      <w:bCs/>
      <w:sz w:val="24"/>
      <w:szCs w:val="24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ED6C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6CA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BR"/>
    </w:rPr>
  </w:style>
  <w:style w:type="character" w:customStyle="1" w:styleId="apple-converted-space">
    <w:name w:val="apple-converted-space"/>
    <w:basedOn w:val="DefaultParagraphFont"/>
    <w:rsid w:val="00ED6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Duarte</cp:lastModifiedBy>
  <cp:revision>2</cp:revision>
  <dcterms:created xsi:type="dcterms:W3CDTF">2025-02-13T12:09:00Z</dcterms:created>
  <dcterms:modified xsi:type="dcterms:W3CDTF">2025-02-13T12:14:00Z</dcterms:modified>
</cp:coreProperties>
</file>