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rPr/>
      </w:pPr>
      <w:bookmarkStart w:id="0" w:name="iomt-aglarnda-saldr-tespiti-simulasyon-v"/>
      <w:bookmarkEnd w:id="0"/>
      <w:r>
        <w:rPr/>
        <w:t>IoMT Ağlarında Saldırı Tespiti: Simülasyon, Veri Seti ve Makine Öğrenmesi Detektörü</w:t>
      </w:r>
    </w:p>
    <w:p>
      <w:pPr>
        <w:pStyle w:val="BodyText"/>
        <w:bidi w:val="0"/>
        <w:rPr/>
      </w:pPr>
      <w:r>
        <w:rPr>
          <w:rStyle w:val="Strong"/>
        </w:rPr>
        <w:t>Yazar:</w:t>
      </w:r>
      <w:r>
        <w:rPr/>
        <w:t xml:space="preserve"> Okan Koca </w:t>
      </w:r>
      <w:r>
        <w:rPr>
          <w:rStyle w:val="Strong"/>
        </w:rPr>
        <w:t>Tarih:</w:t>
      </w:r>
      <w:r>
        <w:rPr/>
        <w:t xml:space="preserve"> Temmuz 2026 </w:t>
      </w:r>
      <w:r>
        <w:rPr>
          <w:rStyle w:val="Strong"/>
        </w:rPr>
        <w:t>Kod ve veri:</w:t>
      </w:r>
      <w:r>
        <w:rPr/>
        <w:t xml:space="preserve"> </w:t>
      </w:r>
      <w:r>
        <w:rPr>
          <w:rStyle w:val="SourceText"/>
        </w:rPr>
        <w:t>github.com/&lt;kullanıcı&gt;/IoMT-NetworkAttackScenarios18</w:t>
      </w:r>
      <w:r>
        <w:rPr/>
        <w:t xml:space="preserve">, sürüm </w:t>
      </w:r>
      <w:r>
        <w:rPr>
          <w:rStyle w:val="SourceText"/>
        </w:rPr>
        <w:t>v1.1</w:t>
      </w:r>
    </w:p>
    <w:p>
      <w:pPr>
        <w:pStyle w:val="HorizontalLine"/>
        <w:bidi w:val="0"/>
        <w:rPr/>
      </w:pPr>
      <w:r>
        <w:rPr/>
      </w:r>
    </w:p>
    <w:p>
      <w:pPr>
        <w:pStyle w:val="Heading2"/>
        <w:bidi w:val="0"/>
        <w:ind w:hanging="0" w:left="0" w:right="0"/>
        <w:rPr/>
      </w:pPr>
      <w:bookmarkStart w:id="1" w:name="ozet"/>
      <w:bookmarkEnd w:id="1"/>
      <w:r>
        <w:rPr/>
        <w:t>Özet</w:t>
      </w:r>
    </w:p>
    <w:p>
      <w:pPr>
        <w:pStyle w:val="BodyText"/>
        <w:bidi w:val="0"/>
        <w:rPr/>
      </w:pPr>
      <w:r>
        <w:rPr/>
        <w:t xml:space="preserve">Bir tıbbi cihazın hasta verisini kablosuz ağ üzerinden bir monitöre akıttığı ortamda, aynı ağ üzerindeki bir saldırganın bu akışı bozması ya da değiştirmesi mümkündür. Bu çalışma, böyle bir ortamı NS-3 ağ simülatöründe kurar, normal ve saldırı altındaki trafiği etiketli bir veri setine dönüştürür, ve bu veriden hem "saldırı var mı" hem "hangi saldırı" sorularını yanıtlayan bir makine öğrenmesi detektörü eğitir. Çalışma, DoS, DDoS, MITM, Blackhole ve MQTT-flood saldırılarını simüle eden mevcut bir NS-3 çalışmasının üzerine kurulmuştur (Zenodo: </w:t>
      </w:r>
      <w:r>
        <w:rPr>
          <w:rStyle w:val="SourceText"/>
        </w:rPr>
        <w:t>10.5281/zenodo.16747386</w:t>
      </w:r>
      <w:r>
        <w:rPr/>
        <w:t xml:space="preserve">) ve ona bir de </w:t>
      </w:r>
      <w:r>
        <w:rPr>
          <w:rStyle w:val="Strong"/>
        </w:rPr>
        <w:t>yeni, sessiz bir saldırı</w:t>
      </w:r>
      <w:r>
        <w:rPr/>
        <w:t xml:space="preserve"> ekler.</w:t>
      </w:r>
    </w:p>
    <w:p>
      <w:pPr>
        <w:pStyle w:val="BodyText"/>
        <w:bidi w:val="0"/>
        <w:rPr/>
      </w:pPr>
      <w:r>
        <w:rPr/>
        <w:t xml:space="preserve">Üretilen veri seti </w:t>
      </w:r>
      <w:r>
        <w:rPr>
          <w:rStyle w:val="Strong"/>
        </w:rPr>
        <w:t>285 simülasyon koşusu</w:t>
      </w:r>
      <w:r>
        <w:rPr/>
        <w:t xml:space="preserve"> içerir; her koşu beş sınıftan birine aittir (</w:t>
      </w:r>
      <w:r>
        <w:rPr>
          <w:rStyle w:val="SourceText"/>
        </w:rPr>
        <w:t>normal</w:t>
      </w:r>
      <w:r>
        <w:rPr/>
        <w:t xml:space="preserve">, </w:t>
      </w:r>
      <w:r>
        <w:rPr>
          <w:rStyle w:val="SourceText"/>
        </w:rPr>
        <w:t>dos</w:t>
      </w:r>
      <w:r>
        <w:rPr/>
        <w:t xml:space="preserve">, </w:t>
      </w:r>
      <w:r>
        <w:rPr>
          <w:rStyle w:val="SourceText"/>
        </w:rPr>
        <w:t>ddos</w:t>
      </w:r>
      <w:r>
        <w:rPr/>
        <w:t xml:space="preserve">, </w:t>
      </w:r>
      <w:r>
        <w:rPr>
          <w:rStyle w:val="SourceText"/>
        </w:rPr>
        <w:t>greyhole</w:t>
      </w:r>
      <w:r>
        <w:rPr/>
        <w:t xml:space="preserve">, </w:t>
      </w:r>
      <w:r>
        <w:rPr>
          <w:rStyle w:val="SourceText"/>
        </w:rPr>
        <w:t>blackhole</w:t>
      </w:r>
      <w:r>
        <w:rPr/>
        <w:t xml:space="preserve">) ve koşu başına 13 sayısal özellikle temsil edilir. Konfigürasyon-grupli, iyimserliği kırılmış bir değerlendirme altında detektörün çok-sınıflı makro-F1 skoru </w:t>
      </w:r>
      <w:r>
        <w:rPr>
          <w:rStyle w:val="Strong"/>
        </w:rPr>
        <w:t>0.788 ± 0.094</w:t>
      </w:r>
      <w:r>
        <w:rPr/>
        <w:t xml:space="preserve">, ikili (saldırı var/yok) F1 skoru </w:t>
      </w:r>
      <w:r>
        <w:rPr>
          <w:rStyle w:val="Strong"/>
        </w:rPr>
        <w:t>0.960</w:t>
      </w:r>
      <w:r>
        <w:rPr/>
        <w:t xml:space="preserve">'tır. Yeni saldırı olarak seçilen </w:t>
      </w:r>
      <w:r>
        <w:rPr>
          <w:rStyle w:val="Strong"/>
        </w:rPr>
        <w:t>grey-hole (seçici iletmeme)</w:t>
      </w:r>
      <w:r>
        <w:rPr/>
        <w:t xml:space="preserve"> güvenilir biçimde tanınmaktadır (F1 </w:t>
      </w:r>
      <w:r>
        <w:rPr>
          <w:rStyle w:val="Strong"/>
        </w:rPr>
        <w:t>0.958</w:t>
      </w:r>
      <w:r>
        <w:rPr/>
        <w:t xml:space="preserve">). Buna karşılık </w:t>
      </w:r>
      <w:r>
        <w:rPr>
          <w:rStyle w:val="SourceText"/>
        </w:rPr>
        <w:t>dos</w:t>
      </w:r>
      <w:r>
        <w:rPr/>
        <w:t xml:space="preserve"> ve </w:t>
      </w:r>
      <w:r>
        <w:rPr>
          <w:rStyle w:val="SourceText"/>
        </w:rPr>
        <w:t>ddos</w:t>
      </w:r>
      <w:r>
        <w:rPr/>
        <w:t xml:space="preserve"> sınıfları birbirine karışmaktadır (F1 0.676 / 0.600) ve bu raporun bir bölümü bunun neden bir eğitim eksikliği değil, ölçüm tasarımının yapısal bir sonucu olduğunu göstermeye ayrılmıştır.</w:t>
      </w:r>
    </w:p>
    <w:p>
      <w:pPr>
        <w:pStyle w:val="BodyText"/>
        <w:bidi w:val="0"/>
        <w:rPr/>
      </w:pPr>
      <w:r>
        <w:rPr/>
        <w:t xml:space="preserve">Çalışmanın asıl bulgusu bir skor değildir. Saldırganı ağ yoluna gerçekten yerleştiren bir kontrol deneyi, </w:t>
      </w:r>
      <w:r>
        <w:rPr>
          <w:rStyle w:val="Strong"/>
        </w:rPr>
        <w:t>hiçbir şey yapmayan</w:t>
      </w:r>
      <w:r>
        <w:rPr/>
        <w:t xml:space="preserve"> — tek bir paket bile düşürmeyen — bir aracı düğümün tek başına detektörü %97.5 oranında alarma geçirdiğini göstermektedir. Yani detektörün saldırıyı tespit ettiği sanılan yerde ölçtüğü şey büyük ölçüde </w:t>
      </w:r>
      <w:r>
        <w:rPr>
          <w:rStyle w:val="Strong"/>
        </w:rPr>
        <w:t>saldırının kendisi değil, ağ yolunda fazladan bir aracının bulunmasıdır</w:t>
      </w:r>
      <w:r>
        <w:rPr/>
        <w:t>. Aynı desen üç yerde birden tekrar eder ve raporun §8'i bu desenin kendisini konu alır.</w:t>
      </w:r>
    </w:p>
    <w:p>
      <w:pPr>
        <w:pStyle w:val="HorizontalLine"/>
        <w:bidi w:val="0"/>
        <w:rPr/>
      </w:pPr>
      <w:r>
        <w:rPr/>
      </w:r>
    </w:p>
    <w:p>
      <w:pPr>
        <w:pStyle w:val="Heading2"/>
        <w:bidi w:val="0"/>
        <w:ind w:hanging="0" w:left="0" w:right="0"/>
        <w:rPr/>
      </w:pPr>
      <w:bookmarkStart w:id="2" w:name="bu-belge-nasl-okunur"/>
      <w:bookmarkEnd w:id="2"/>
      <w:r>
        <w:rPr/>
        <w:t>Bu belge nasıl okunur</w:t>
      </w:r>
    </w:p>
    <w:p>
      <w:pPr>
        <w:pStyle w:val="BodyText"/>
        <w:bidi w:val="0"/>
        <w:rPr/>
      </w:pPr>
      <w:r>
        <w:rPr/>
        <w:t>Bölümler birbirine dayanacak şekilde sıralanmıştır: önce simüle edilen ağ, sonra o ağdan hangi büyüklüklerin ölçüldüğü, sonra bu büyüklüklerin nasıl bir veri setine dönüştüğü, ancak ondan sonra model. Her bölüm, ne kurduğunu ve neden gerekli olduğunu söyleyen kısa bir paragrafla açılır; yalnızca bu açılış paragraflarını okuyan biri de çalışmanın tamamını takip edebilir.</w:t>
      </w:r>
    </w:p>
    <w:p>
      <w:pPr>
        <w:pStyle w:val="BodyText"/>
        <w:bidi w:val="0"/>
        <w:rPr/>
      </w:pPr>
      <w:r>
        <w:rPr/>
        <w:t>Teknik terimlerin bir kısmı İngilizce bırakılmıştır (</w:t>
      </w:r>
      <w:r>
        <w:rPr>
          <w:rStyle w:val="Emphasis"/>
        </w:rPr>
        <w:t>throughput</w:t>
      </w:r>
      <w:r>
        <w:rPr/>
        <w:t xml:space="preserve">, </w:t>
      </w:r>
      <w:r>
        <w:rPr>
          <w:rStyle w:val="Emphasis"/>
        </w:rPr>
        <w:t>jitter</w:t>
      </w:r>
      <w:r>
        <w:rPr/>
        <w:t xml:space="preserve">, </w:t>
      </w:r>
      <w:r>
        <w:rPr>
          <w:rStyle w:val="Emphasis"/>
        </w:rPr>
        <w:t>flow</w:t>
      </w:r>
      <w:r>
        <w:rPr/>
        <w:t xml:space="preserve">, </w:t>
      </w:r>
      <w:r>
        <w:rPr>
          <w:rStyle w:val="Emphasis"/>
        </w:rPr>
        <w:t>grey-hole</w:t>
      </w:r>
      <w:r>
        <w:rPr/>
        <w:t xml:space="preserve">). Sebebi, bu terimlerin Türkçe karşılıklarının alanda yerleşmemiş olması ve zorlama çevirilerin anlamı belirsizleştirmesidir. Her biri ilk geçtiği yerde tanımlanır; tamamı </w:t>
      </w:r>
      <w:r>
        <w:rPr>
          <w:rStyle w:val="Strong"/>
        </w:rPr>
        <w:t>Ek A — Terimler Sözlüğü</w:t>
      </w:r>
      <w:r>
        <w:rPr/>
        <w:t>'nde toplanmıştır.</w:t>
      </w:r>
    </w:p>
    <w:p>
      <w:pPr>
        <w:pStyle w:val="BodyText"/>
        <w:bidi w:val="0"/>
        <w:rPr/>
      </w:pPr>
      <w:r>
        <w:rPr/>
        <w:t>Raporda geçen her sayısal sonuç tek bir kaynaktan üretilmiştir (</w:t>
      </w:r>
      <w:r>
        <w:rPr>
          <w:rStyle w:val="SourceText"/>
        </w:rPr>
        <w:t>my-work/report_numbers.py</w:t>
      </w:r>
      <w:r>
        <w:rPr/>
        <w:t xml:space="preserve"> → </w:t>
      </w:r>
      <w:r>
        <w:rPr>
          <w:rStyle w:val="SourceText"/>
        </w:rPr>
        <w:t>report_numbers.json</w:t>
      </w:r>
      <w:r>
        <w:rPr/>
        <w:t>) ve elle kopyalanmamıştır. Bunun neden bir ayrıntı değil bir yöntem kararı olduğu §10'da açıklanmaktadır.</w:t>
      </w:r>
    </w:p>
    <w:p>
      <w:pPr>
        <w:pStyle w:val="HorizontalLine"/>
        <w:bidi w:val="0"/>
        <w:rPr/>
      </w:pPr>
      <w:r>
        <w:rPr/>
      </w:r>
    </w:p>
    <w:p>
      <w:pPr>
        <w:pStyle w:val="Heading2"/>
        <w:bidi w:val="0"/>
        <w:ind w:hanging="0" w:left="0" w:right="0"/>
        <w:rPr/>
      </w:pPr>
      <w:bookmarkStart w:id="3" w:name="1-giris"/>
      <w:bookmarkEnd w:id="3"/>
      <w:r>
        <w:rPr/>
        <w:t>1. Giriş</w:t>
      </w:r>
    </w:p>
    <w:p>
      <w:pPr>
        <w:pStyle w:val="Heading3"/>
        <w:bidi w:val="0"/>
        <w:ind w:hanging="0" w:left="0" w:right="0"/>
        <w:rPr/>
      </w:pPr>
      <w:bookmarkStart w:id="4" w:name="11-problem"/>
      <w:bookmarkEnd w:id="4"/>
      <w:r>
        <w:rPr/>
        <w:t>1.1 Problem</w:t>
      </w:r>
    </w:p>
    <w:p>
      <w:pPr>
        <w:pStyle w:val="BodyText"/>
        <w:bidi w:val="0"/>
        <w:rPr/>
      </w:pPr>
      <w:r>
        <w:rPr>
          <w:rStyle w:val="Strong"/>
        </w:rPr>
        <w:t>IoMT (Internet of Medical Things)</w:t>
      </w:r>
      <w:r>
        <w:rPr/>
        <w:t xml:space="preserve">, hastanelerde ve evde bakımda kullanılan, ölçtüğü veriyi bir ağ üzerinden başka bir yere gönderen tıbbi cihazların ortak adıdır: infüzyon pompaları, hasta başı monitörleri, giyilebilir EKG ve solunum sensörleri. Bu cihazların ortak özelliği, ürettikleri verinin </w:t>
      </w:r>
      <w:r>
        <w:rPr>
          <w:rStyle w:val="Strong"/>
        </w:rPr>
        <w:t>zamanında ve değişmeden</w:t>
      </w:r>
      <w:r>
        <w:rPr/>
        <w:t xml:space="preserve"> ulaşmasının klinik bir gereklilik olmasıdır. Gecikmiş ya da eksik bir ölçüm, yalnızca bir veri kaybı değil, yanlış bir klinik karara dayanak olabilir.</w:t>
      </w:r>
    </w:p>
    <w:p>
      <w:pPr>
        <w:pStyle w:val="BodyText"/>
        <w:bidi w:val="0"/>
        <w:rPr/>
      </w:pPr>
      <w:r>
        <w:rPr/>
        <w:t xml:space="preserve">Bu cihazlar aynı zamanda savunması en zayıf ağ bileşenleridir. Çoğu sınırlı işlemci ve bellekle çalışır, güncelleme alması üreticiye ve hastane prosedürlerine bağlıdır, ve klinik sertifikasyon süreçleri nedeniyle yazılımlarına müdahale edilmesi kolay değildir. Yani korumayı </w:t>
      </w:r>
      <w:r>
        <w:rPr>
          <w:rStyle w:val="Strong"/>
        </w:rPr>
        <w:t>cihazın içine</w:t>
      </w:r>
      <w:r>
        <w:rPr/>
        <w:t xml:space="preserve"> koymak çoğu durumda mümkün değildir.</w:t>
      </w:r>
    </w:p>
    <w:p>
      <w:pPr>
        <w:pStyle w:val="BodyText"/>
        <w:bidi w:val="0"/>
        <w:rPr/>
      </w:pPr>
      <w:r>
        <w:rPr/>
        <w:t xml:space="preserve">Bu, savunmayı doğal olarak </w:t>
      </w:r>
      <w:r>
        <w:rPr>
          <w:rStyle w:val="Strong"/>
        </w:rPr>
        <w:t>ağ tarafına</w:t>
      </w:r>
      <w:r>
        <w:rPr/>
        <w:t xml:space="preserve"> taşır. Cihazlara dokunulamıyorsa, cihazların ürettiği trafik tek bir noktadan gözlenebilir ve trafiğin kendisindeki bozulmadan saldırının varlığı çıkarılabilir. Bu çalışmanın konusu tam olarak budur: </w:t>
      </w:r>
      <w:r>
        <w:rPr>
          <w:rStyle w:val="Strong"/>
        </w:rPr>
        <w:t>ağ trafiğinin ölçülebilir özelliklerinden saldırı tespiti.</w:t>
      </w:r>
    </w:p>
    <w:p>
      <w:pPr>
        <w:pStyle w:val="Heading3"/>
        <w:bidi w:val="0"/>
        <w:ind w:hanging="0" w:left="0" w:right="0"/>
        <w:rPr/>
      </w:pPr>
      <w:bookmarkStart w:id="5" w:name="12-neden-simulasyon"/>
      <w:bookmarkEnd w:id="5"/>
      <w:r>
        <w:rPr/>
        <w:t>1.2 Neden simülasyon</w:t>
      </w:r>
    </w:p>
    <w:p>
      <w:pPr>
        <w:pStyle w:val="BodyText"/>
        <w:bidi w:val="0"/>
        <w:rPr/>
      </w:pPr>
      <w:r>
        <w:rPr/>
        <w:t xml:space="preserve">Gerçek bir hastane ağında kontrollü saldırı denemesi yapmak mümkün değildir; hem hasta güvenliği hem de etik ve yasal kısıtlar bunu engeller. Ayrıca makine öğrenmesi için gerekli olan şey yalnızca "saldırı altındaki trafik" değil, </w:t>
      </w:r>
      <w:r>
        <w:rPr>
          <w:rStyle w:val="Strong"/>
        </w:rPr>
        <w:t>etiketli</w:t>
      </w:r>
      <w:r>
        <w:rPr/>
        <w:t xml:space="preserve"> ve </w:t>
      </w:r>
      <w:r>
        <w:rPr>
          <w:rStyle w:val="Strong"/>
        </w:rPr>
        <w:t>tekrarlanabilir</w:t>
      </w:r>
      <w:r>
        <w:rPr/>
        <w:t xml:space="preserve"> trafiktir: hangi koşunun hangi saldırıyı, hangi şiddette içerdiğinin kesin olarak bilinmesi gerekir. Gerçek bir ortamda bu etiket ancak varsayımla üretilebilir.</w:t>
      </w:r>
    </w:p>
    <w:p>
      <w:pPr>
        <w:pStyle w:val="BodyText"/>
        <w:bidi w:val="0"/>
        <w:rPr/>
      </w:pPr>
      <w:r>
        <w:rPr/>
        <w:t xml:space="preserve">Bu nedenle çalışma </w:t>
      </w:r>
      <w:r>
        <w:rPr>
          <w:rStyle w:val="Strong"/>
        </w:rPr>
        <w:t>NS-3</w:t>
      </w:r>
      <w:r>
        <w:rPr/>
        <w:t xml:space="preserve"> ağ simülatörü üzerinde yürütülmüştür. NS-3, paket seviyesinde ayrıklı-olay simülasyonu yapan, akademik olarak yerleşik açık kaynaklı bir simülatördür; Wi-Fi fiziksel katmanını, MAC kuyruklarını ve yönlendirmeyi ayrı ayrı modeller. Simülasyonun karşılığında verdiği şey, bir gerçek ölçümün asla veremeyeceği iki şeydir: </w:t>
      </w:r>
      <w:r>
        <w:rPr>
          <w:rStyle w:val="Strong"/>
        </w:rPr>
        <w:t>her koşunun etiketi kesindir</w:t>
      </w:r>
      <w:r>
        <w:rPr/>
        <w:t xml:space="preserve"> ve </w:t>
      </w:r>
      <w:r>
        <w:rPr>
          <w:rStyle w:val="Strong"/>
        </w:rPr>
        <w:t>her koşu tohum (seed) verilerek birebir tekrar üretilebilir</w:t>
      </w:r>
      <w:r>
        <w:rPr/>
        <w:t>.</w:t>
      </w:r>
    </w:p>
    <w:p>
      <w:pPr>
        <w:pStyle w:val="BodyText"/>
        <w:bidi w:val="0"/>
        <w:rPr/>
      </w:pPr>
      <w:r>
        <w:rPr/>
        <w:t>Karşılığında ödenen bedel de açıktır ve bu rapor onu saklamaz: simülasyon, gerçek bir hastane ağının bütün karmaşıklığını içermez. Bunun sonuçlarımızı nasıl sınırladığı §9'da ayrıntısıyla tartışılmaktadır.</w:t>
      </w:r>
    </w:p>
    <w:p>
      <w:pPr>
        <w:pStyle w:val="Heading3"/>
        <w:bidi w:val="0"/>
        <w:ind w:hanging="0" w:left="0" w:right="0"/>
        <w:rPr/>
      </w:pPr>
      <w:bookmarkStart w:id="6" w:name="13-ne-yaplmas-istendi"/>
      <w:bookmarkEnd w:id="6"/>
      <w:r>
        <w:rPr/>
        <w:t>1.3 Ne yapılması istendi</w:t>
      </w:r>
    </w:p>
    <w:p>
      <w:pPr>
        <w:pStyle w:val="BodyText"/>
        <w:bidi w:val="0"/>
        <w:rPr/>
      </w:pPr>
      <w:r>
        <w:rPr/>
        <w:t>Çalışmanın dört teslim edilebilir çıktısı vardır:</w:t>
      </w:r>
    </w:p>
    <w:p>
      <w:pPr>
        <w:pStyle w:val="BodyText"/>
        <w:numPr>
          <w:ilvl w:val="0"/>
          <w:numId w:val="1"/>
        </w:numPr>
        <w:tabs>
          <w:tab w:val="clear" w:pos="1134"/>
          <w:tab w:val="left" w:pos="709" w:leader="none"/>
        </w:tabs>
        <w:bidi w:val="0"/>
        <w:spacing w:before="0" w:after="0"/>
        <w:ind w:hanging="283" w:left="709"/>
        <w:rPr/>
      </w:pPr>
      <w:r>
        <w:rPr/>
        <w:t xml:space="preserve">Mevcut bir saldırı senaryosunu yeniden üreten, çalışır bir NS-3 kurulumu. </w:t>
      </w:r>
    </w:p>
    <w:p>
      <w:pPr>
        <w:pStyle w:val="BodyText"/>
        <w:numPr>
          <w:ilvl w:val="0"/>
          <w:numId w:val="1"/>
        </w:numPr>
        <w:tabs>
          <w:tab w:val="clear" w:pos="1134"/>
          <w:tab w:val="left" w:pos="709" w:leader="none"/>
        </w:tabs>
        <w:bidi w:val="0"/>
        <w:spacing w:before="0" w:after="0"/>
        <w:ind w:hanging="283" w:left="709"/>
        <w:rPr/>
      </w:pPr>
      <w:r>
        <w:rPr/>
        <w:t xml:space="preserve">Simülasyonlardan çıkarılmış, </w:t>
      </w:r>
      <w:r>
        <w:rPr>
          <w:rStyle w:val="Strong"/>
        </w:rPr>
        <w:t>etiketli bir ağ trafiği veri seti</w:t>
      </w:r>
      <w:r>
        <w:rPr/>
        <w:t xml:space="preserve"> (normal + saldırılar). </w:t>
      </w:r>
    </w:p>
    <w:p>
      <w:pPr>
        <w:pStyle w:val="BodyText"/>
        <w:numPr>
          <w:ilvl w:val="0"/>
          <w:numId w:val="1"/>
        </w:numPr>
        <w:tabs>
          <w:tab w:val="clear" w:pos="1134"/>
          <w:tab w:val="left" w:pos="709" w:leader="none"/>
        </w:tabs>
        <w:bidi w:val="0"/>
        <w:spacing w:before="0" w:after="0"/>
        <w:ind w:hanging="283" w:left="709"/>
        <w:rPr/>
      </w:pPr>
      <w:r>
        <w:rPr/>
        <w:t xml:space="preserve">Saldırı olup olmadığını işaretleyen ve </w:t>
      </w:r>
      <w:r>
        <w:rPr>
          <w:rStyle w:val="Strong"/>
        </w:rPr>
        <w:t>saldırı tipini</w:t>
      </w:r>
      <w:r>
        <w:rPr/>
        <w:t xml:space="preserve"> belirleyen bir makine öğrenmesi detektörü; yanında </w:t>
      </w:r>
      <w:r>
        <w:rPr>
          <w:rStyle w:val="Strong"/>
        </w:rPr>
        <w:t>tespit–saldırı şiddeti eğrisi</w:t>
      </w:r>
      <w:r>
        <w:rPr/>
        <w:t xml:space="preserve">. </w:t>
      </w:r>
    </w:p>
    <w:p>
      <w:pPr>
        <w:pStyle w:val="BodyText"/>
        <w:numPr>
          <w:ilvl w:val="0"/>
          <w:numId w:val="1"/>
        </w:numPr>
        <w:tabs>
          <w:tab w:val="clear" w:pos="1134"/>
          <w:tab w:val="left" w:pos="709" w:leader="none"/>
        </w:tabs>
        <w:bidi w:val="0"/>
        <w:ind w:hanging="283" w:left="709"/>
        <w:rPr/>
      </w:pPr>
      <w:r>
        <w:rPr/>
        <w:t xml:space="preserve">Kaynak çalışmada bulunmayan, </w:t>
      </w:r>
      <w:r>
        <w:rPr>
          <w:rStyle w:val="Strong"/>
        </w:rPr>
        <w:t>yeni ve sessiz bir saldırının</w:t>
      </w:r>
      <w:r>
        <w:rPr/>
        <w:t xml:space="preserve"> NS-3'te gerçeklenmesi ve detektöre karşı sınanması. </w:t>
      </w:r>
    </w:p>
    <w:p>
      <w:pPr>
        <w:pStyle w:val="Heading3"/>
        <w:bidi w:val="0"/>
        <w:ind w:hanging="0" w:left="0" w:right="0"/>
        <w:rPr/>
      </w:pPr>
      <w:bookmarkStart w:id="7" w:name="14-ne-yapld-sonuclarn-ozeti"/>
      <w:bookmarkEnd w:id="7"/>
      <w:r>
        <w:rPr/>
        <w:t>1.4 Ne yapıldı — sonuçların özeti</w:t>
      </w:r>
    </w:p>
    <w:p>
      <w:pPr>
        <w:pStyle w:val="BodyText"/>
        <w:bidi w:val="0"/>
        <w:rPr/>
      </w:pPr>
      <w:r>
        <w:rPr/>
        <w:t>Dördü de üretilmiştir. Kısaca:</w:t>
      </w:r>
    </w:p>
    <w:p>
      <w:pPr>
        <w:pStyle w:val="BodyText"/>
        <w:numPr>
          <w:ilvl w:val="0"/>
          <w:numId w:val="2"/>
        </w:numPr>
        <w:tabs>
          <w:tab w:val="clear" w:pos="1134"/>
          <w:tab w:val="left" w:pos="709" w:leader="none"/>
        </w:tabs>
        <w:bidi w:val="0"/>
        <w:spacing w:before="0" w:after="0"/>
        <w:ind w:hanging="283" w:left="709"/>
        <w:rPr/>
      </w:pPr>
      <w:r>
        <w:rPr>
          <w:rStyle w:val="Strong"/>
        </w:rPr>
        <w:t>Simülasyon tabanı.</w:t>
      </w:r>
      <w:r>
        <w:rPr/>
        <w:t xml:space="preserve"> Kaynak çalışmanın senaryo dosyaları temel alınmış, ancak doğrulandıktan sonra </w:t>
      </w:r>
      <w:r>
        <w:rPr>
          <w:rStyle w:val="Strong"/>
        </w:rPr>
        <w:t>yeniden yazılmıştır</w:t>
      </w:r>
      <w:r>
        <w:rPr/>
        <w:t xml:space="preserve"> — nedeni §2'de ayrıntısıyla verilen ampirik bir bulgudur: dosyaların üçünde saldırı fiilen gerçekleşmemektedir. Ayrıca senaryolara komut satırı parametreleri ve tohum yönetimi eklenmiş, ölçülebilir bir taban gürültüsü kalibre edilmiştir (§3). </w:t>
      </w:r>
    </w:p>
    <w:p>
      <w:pPr>
        <w:pStyle w:val="BodyText"/>
        <w:numPr>
          <w:ilvl w:val="0"/>
          <w:numId w:val="2"/>
        </w:numPr>
        <w:tabs>
          <w:tab w:val="clear" w:pos="1134"/>
          <w:tab w:val="left" w:pos="709" w:leader="none"/>
        </w:tabs>
        <w:bidi w:val="0"/>
        <w:spacing w:before="0" w:after="0"/>
        <w:ind w:hanging="283" w:left="709"/>
        <w:rPr/>
      </w:pPr>
      <w:r>
        <w:rPr>
          <w:rStyle w:val="Strong"/>
        </w:rPr>
        <w:t>Veri seti.</w:t>
      </w:r>
      <w:r>
        <w:rPr/>
        <w:t xml:space="preserve"> 285 koşu, 5 sınıf, koşu başına 13 model girdisi. Sınıf dağılımı: </w:t>
      </w:r>
      <w:r>
        <w:rPr>
          <w:rStyle w:val="SourceText"/>
        </w:rPr>
        <w:t>greyhole</w:t>
      </w:r>
      <w:r>
        <w:rPr/>
        <w:t xml:space="preserve"> 110, </w:t>
      </w:r>
      <w:r>
        <w:rPr>
          <w:rStyle w:val="SourceText"/>
        </w:rPr>
        <w:t>dos</w:t>
      </w:r>
      <w:r>
        <w:rPr/>
        <w:t xml:space="preserve"> 100, </w:t>
      </w:r>
      <w:r>
        <w:rPr>
          <w:rStyle w:val="SourceText"/>
        </w:rPr>
        <w:t>normal</w:t>
      </w:r>
      <w:r>
        <w:rPr/>
        <w:t xml:space="preserve"> 40, </w:t>
      </w:r>
      <w:r>
        <w:rPr>
          <w:rStyle w:val="SourceText"/>
        </w:rPr>
        <w:t>ddos</w:t>
      </w:r>
      <w:r>
        <w:rPr/>
        <w:t xml:space="preserve"> 25, </w:t>
      </w:r>
      <w:r>
        <w:rPr>
          <w:rStyle w:val="SourceText"/>
        </w:rPr>
        <w:t>blackhole</w:t>
      </w:r>
      <w:r>
        <w:rPr/>
        <w:t xml:space="preserve"> 10 (§4). </w:t>
      </w:r>
    </w:p>
    <w:p>
      <w:pPr>
        <w:pStyle w:val="BodyText"/>
        <w:numPr>
          <w:ilvl w:val="0"/>
          <w:numId w:val="2"/>
        </w:numPr>
        <w:tabs>
          <w:tab w:val="clear" w:pos="1134"/>
          <w:tab w:val="left" w:pos="709" w:leader="none"/>
        </w:tabs>
        <w:bidi w:val="0"/>
        <w:spacing w:before="0" w:after="0"/>
        <w:ind w:hanging="283" w:left="709"/>
        <w:rPr/>
      </w:pPr>
      <w:r>
        <w:rPr>
          <w:rStyle w:val="Strong"/>
        </w:rPr>
        <w:t>Detektör.</w:t>
      </w:r>
      <w:r>
        <w:rPr/>
        <w:t xml:space="preserve"> Tek bir çok-sınıflı Random Forest. Dürüst, konfigürasyon-grupli çapraz doğrulama altında makro-F1 </w:t>
      </w:r>
      <w:r>
        <w:rPr>
          <w:rStyle w:val="Strong"/>
        </w:rPr>
        <w:t>0.788 ± 0.094</w:t>
      </w:r>
      <w:r>
        <w:rPr/>
        <w:t xml:space="preserve">; ikili görünümde saldırı-F1 </w:t>
      </w:r>
      <w:r>
        <w:rPr>
          <w:rStyle w:val="Strong"/>
        </w:rPr>
        <w:t>0.960</w:t>
      </w:r>
      <w:r>
        <w:rPr/>
        <w:t xml:space="preserve">, yanlış alarm oranı </w:t>
      </w:r>
      <w:r>
        <w:rPr>
          <w:rStyle w:val="Strong"/>
        </w:rPr>
        <w:t>0.150</w:t>
      </w:r>
      <w:r>
        <w:rPr/>
        <w:t xml:space="preserve">. Sınıf bazında: </w:t>
      </w:r>
      <w:r>
        <w:rPr>
          <w:rStyle w:val="SourceText"/>
        </w:rPr>
        <w:t>greyhole</w:t>
      </w:r>
      <w:r>
        <w:rPr/>
        <w:t xml:space="preserve"> 0.958, </w:t>
      </w:r>
      <w:r>
        <w:rPr>
          <w:rStyle w:val="SourceText"/>
        </w:rPr>
        <w:t>blackhole</w:t>
      </w:r>
      <w:r>
        <w:rPr/>
        <w:t xml:space="preserve"> 0.952, </w:t>
      </w:r>
      <w:r>
        <w:rPr>
          <w:rStyle w:val="SourceText"/>
        </w:rPr>
        <w:t>normal</w:t>
      </w:r>
      <w:r>
        <w:rPr/>
        <w:t xml:space="preserve"> 0.800, </w:t>
      </w:r>
      <w:r>
        <w:rPr>
          <w:rStyle w:val="SourceText"/>
        </w:rPr>
        <w:t>dos</w:t>
      </w:r>
      <w:r>
        <w:rPr/>
        <w:t xml:space="preserve"> 0.676, </w:t>
      </w:r>
      <w:r>
        <w:rPr>
          <w:rStyle w:val="SourceText"/>
        </w:rPr>
        <w:t>ddos</w:t>
      </w:r>
      <w:r>
        <w:rPr/>
        <w:t xml:space="preserve"> 0.600 (§5, §6). </w:t>
      </w:r>
    </w:p>
    <w:p>
      <w:pPr>
        <w:pStyle w:val="BodyText"/>
        <w:numPr>
          <w:ilvl w:val="0"/>
          <w:numId w:val="2"/>
        </w:numPr>
        <w:tabs>
          <w:tab w:val="clear" w:pos="1134"/>
          <w:tab w:val="left" w:pos="709" w:leader="none"/>
        </w:tabs>
        <w:bidi w:val="0"/>
        <w:ind w:hanging="283" w:left="709"/>
        <w:rPr/>
      </w:pPr>
      <w:r>
        <w:rPr>
          <w:rStyle w:val="Strong"/>
        </w:rPr>
        <w:t>Yeni saldırı.</w:t>
      </w:r>
      <w:r>
        <w:rPr/>
        <w:t xml:space="preserve"> Ağ yoluna gerçekten yerleşen, paketleri </w:t>
      </w:r>
      <w:r>
        <w:rPr>
          <w:rStyle w:val="SourceText"/>
        </w:rPr>
        <w:t>p</w:t>
      </w:r>
      <w:r>
        <w:rPr/>
        <w:t xml:space="preserve"> olasılığıyla düşüren bir </w:t>
      </w:r>
      <w:r>
        <w:rPr>
          <w:rStyle w:val="Strong"/>
        </w:rPr>
        <w:t>grey-hole</w:t>
      </w:r>
      <w:r>
        <w:rPr/>
        <w:t xml:space="preserve"> relay'i gerçeklenmiştir. </w:t>
      </w:r>
      <w:r>
        <w:rPr>
          <w:rStyle w:val="SourceText"/>
        </w:rPr>
        <w:t>p</w:t>
      </w:r>
      <w:r>
        <w:rPr/>
        <w:t xml:space="preserve"> doğal bir şiddet ekseni verir ve tespit–şiddet eğrisi bunun üzerine kurulmuştur. İkinci bir saldırı — paketleri düşürmeyip </w:t>
      </w:r>
      <w:r>
        <w:rPr>
          <w:rStyle w:val="Strong"/>
        </w:rPr>
        <w:t>geciktiren</w:t>
      </w:r>
      <w:r>
        <w:rPr/>
        <w:t xml:space="preserve"> bir </w:t>
      </w:r>
      <w:r>
        <w:rPr>
          <w:rStyle w:val="Emphasis"/>
        </w:rPr>
        <w:t>timing-MITM</w:t>
      </w:r>
      <w:r>
        <w:rPr/>
        <w:t xml:space="preserve"> — de gerçeklenmiş, fakat sınıf olarak modele dahil edilmemiştir; sebebi bir başarısızlık değil, ölçüm katmanının yapısal bir körlüğüdür ve kendi başına bir bulgudur (§7). </w:t>
      </w:r>
    </w:p>
    <w:p>
      <w:pPr>
        <w:pStyle w:val="Heading3"/>
        <w:bidi w:val="0"/>
        <w:ind w:hanging="0" w:left="0" w:right="0"/>
        <w:rPr/>
      </w:pPr>
      <w:bookmarkStart w:id="8" w:name="15-raporun-asl-iddias"/>
      <w:bookmarkEnd w:id="8"/>
      <w:r>
        <w:rPr/>
        <w:t>1.5 Raporun asıl iddiası</w:t>
      </w:r>
    </w:p>
    <w:p>
      <w:pPr>
        <w:pStyle w:val="BodyText"/>
        <w:bidi w:val="0"/>
        <w:rPr/>
      </w:pPr>
      <w:r>
        <w:rPr/>
        <w:t xml:space="preserve">Bu rapor, "yüksek bir skor elde edildi" iddiası üzerine kurulu değildir. Yukarıdaki skorların her biri, </w:t>
      </w:r>
      <w:r>
        <w:rPr>
          <w:rStyle w:val="Strong"/>
        </w:rPr>
        <w:t>ne ölçtükleri sorulduğunda</w:t>
      </w:r>
      <w:r>
        <w:rPr/>
        <w:t xml:space="preserve"> farklı bir anlam kazanmaktadır.</w:t>
      </w:r>
    </w:p>
    <w:p>
      <w:pPr>
        <w:pStyle w:val="BodyText"/>
        <w:bidi w:val="0"/>
        <w:rPr/>
      </w:pPr>
      <w:r>
        <w:rPr/>
        <w:t xml:space="preserve">Çalışmanın merkezindeki kontrol deneyi şudur: saldırganı ağ yoluna yerleştiren ama ona </w:t>
      </w:r>
      <w:r>
        <w:rPr>
          <w:rStyle w:val="Strong"/>
        </w:rPr>
        <w:t>hiçbir zararlı davranış vermeyen</w:t>
      </w:r>
      <w:r>
        <w:rPr/>
        <w:t xml:space="preserve"> bir konfigürasyon koşulmuştur — gelen her paketi düşürmeden, geciktirmeden, değiştirmeden ileten bir aracı. Detektör bu 40 koşunun </w:t>
      </w:r>
      <w:r>
        <w:rPr>
          <w:rStyle w:val="Strong"/>
        </w:rPr>
        <w:t>39'unu</w:t>
      </w:r>
      <w:r>
        <w:rPr/>
        <w:t xml:space="preserve"> saldırı olarak işaretlemektedir. Yani "saldırı tespit edildi" çıktısının büyük kısmı, saldırının kendisinden değil, </w:t>
      </w:r>
      <w:r>
        <w:rPr>
          <w:rStyle w:val="Strong"/>
        </w:rPr>
        <w:t>ağ yolunda fazladan bir düğüm bulunmasından</w:t>
      </w:r>
      <w:r>
        <w:rPr/>
        <w:t xml:space="preserve"> kaynaklanmaktadır.</w:t>
      </w:r>
    </w:p>
    <w:p>
      <w:pPr>
        <w:pStyle w:val="BodyText"/>
        <w:bidi w:val="0"/>
        <w:rPr/>
      </w:pPr>
      <w:r>
        <w:rPr/>
        <w:t xml:space="preserve">Aynı desen bağımsız olarak üç kez ortaya çıkar: </w:t>
      </w:r>
      <w:r>
        <w:rPr>
          <w:rStyle w:val="SourceText"/>
        </w:rPr>
        <w:t>ddos</w:t>
      </w:r>
      <w:r>
        <w:rPr/>
        <w:t xml:space="preserve"> sınıfı pratikte "saldırgan sayısı çok" değil "hasar çok" anlamına gelmekte, </w:t>
      </w:r>
      <w:r>
        <w:rPr>
          <w:rStyle w:val="SourceText"/>
        </w:rPr>
        <w:t>mitm</w:t>
      </w:r>
      <w:r>
        <w:rPr/>
        <w:t xml:space="preserve"> sınıfı ise "paket düşürmeyen aracı" anlamına gelmektedir. Üçünün ortak açıklaması, akış seviyesinde ölçülen özet büyüklüklerin </w:t>
      </w:r>
      <w:r>
        <w:rPr>
          <w:rStyle w:val="Strong"/>
        </w:rPr>
        <w:t>saldırganın niyetini değil kullandığı mekanizmayı</w:t>
      </w:r>
      <w:r>
        <w:rPr/>
        <w:t xml:space="preserve"> görmesidir. Bu bulgu §8'de bir araya getirilmiştir ve raporun ana katkısı olarak sunulmaktadır.</w:t>
      </w:r>
    </w:p>
    <w:p>
      <w:pPr>
        <w:pStyle w:val="HorizontalLine"/>
        <w:bidi w:val="0"/>
        <w:rPr/>
      </w:pPr>
      <w:r>
        <w:rPr/>
      </w:r>
    </w:p>
    <w:p>
      <w:pPr>
        <w:pStyle w:val="Heading2"/>
        <w:bidi w:val="0"/>
        <w:ind w:hanging="0" w:left="0" w:right="0"/>
        <w:rPr/>
      </w:pPr>
      <w:bookmarkStart w:id="9" w:name="2-dayanak-calsma-ve-dogrulanmas"/>
      <w:bookmarkEnd w:id="9"/>
      <w:r>
        <w:rPr/>
        <w:t>2. Dayanak çalışma ve doğrulanması</w:t>
      </w:r>
    </w:p>
    <w:p>
      <w:pPr>
        <w:pStyle w:val="BlockQuotation"/>
        <w:bidi w:val="0"/>
        <w:rPr/>
      </w:pPr>
      <w:r>
        <w:rPr/>
        <w:t>Bu bölüm, çalışmanın üzerine kurulduğu kaynağı tanıtır ve ondan ne alınıp neyin yeniden yazıldığını gerekçesiyle ortaya koyar. Gerekçe bir tercih meselesi değildir: kaynak senaryoların hangilerinin ağı fiilen değiştirdiği ölçülmüş, üçünün değiştirmediği görülmüştür. Aynı bölüm, kaynağın yayımlanmış ölçüm çıktılarının neden bir karşılaştırma ölçütü olarak kullanılamayacağını da gösterir.</w:t>
      </w:r>
    </w:p>
    <w:p>
      <w:pPr>
        <w:pStyle w:val="Heading3"/>
        <w:bidi w:val="0"/>
        <w:ind w:hanging="0" w:left="0" w:right="0"/>
        <w:rPr/>
      </w:pPr>
      <w:bookmarkStart w:id="10" w:name="21-kaynak-calsma"/>
      <w:bookmarkEnd w:id="10"/>
      <w:r>
        <w:rPr/>
        <w:t>2.1 Kaynak çalışma</w:t>
      </w:r>
    </w:p>
    <w:p>
      <w:pPr>
        <w:pStyle w:val="BodyText"/>
        <w:bidi w:val="0"/>
        <w:rPr/>
      </w:pPr>
      <w:r>
        <w:rPr/>
        <w:t xml:space="preserve">Bu çalışma, </w:t>
      </w:r>
      <w:r>
        <w:rPr>
          <w:rStyle w:val="SourceText"/>
        </w:rPr>
        <w:t>ramamr33/IoMT-NetworkAttackScenarios18</w:t>
      </w:r>
      <w:r>
        <w:rPr/>
        <w:t xml:space="preserve"> adlı NS-3 tabanlı simülasyon çalışmasının üzerine kurulmuştur (Zenodo DOI: </w:t>
      </w:r>
      <w:r>
        <w:rPr>
          <w:rStyle w:val="SourceText"/>
        </w:rPr>
        <w:t>10.5281/zenodo.16747386</w:t>
      </w:r>
      <w:r>
        <w:rPr/>
        <w:t xml:space="preserve">). Kaynak çalışma, bir tıbbi IoT ağında beş saldırı senaryosu simüle eder — DoS, DDoS, MITM, Blackhole ve MQTT-flood — ve her senaryo için NS-3'ün </w:t>
      </w:r>
      <w:r>
        <w:rPr>
          <w:rStyle w:val="Strong"/>
        </w:rPr>
        <w:t>FlowMonitor</w:t>
      </w:r>
      <w:r>
        <w:rPr/>
        <w:t xml:space="preserve"> modülüyle toplanmış ölçüm çıktıları yayımlar.</w:t>
      </w:r>
    </w:p>
    <w:p>
      <w:pPr>
        <w:pStyle w:val="BodyText"/>
        <w:bidi w:val="0"/>
        <w:rPr/>
      </w:pPr>
      <w:r>
        <w:rPr/>
        <w:t xml:space="preserve">Kaynaktan devralınan şey </w:t>
      </w:r>
      <w:r>
        <w:rPr>
          <w:rStyle w:val="Strong"/>
        </w:rPr>
        <w:t>simülasyon tabanının kendisidir</w:t>
      </w:r>
      <w:r>
        <w:rPr/>
        <w:t>: ağ topolojisi (9 Wi-Fi istasyonu, bir erişim noktası, bir giyilebilir sensör düğümü), 802.11n Wi-Fi yapılandırması, UDP tabanlı trafik deseni, ve saldırıların kurulduğu iki kod kalıbı — (a) saldırgan düğüme kötü niyetli bir trafik uygulaması yerleştirmek (flood saldırıları), (b) saldırgan düğüme paket-işleme geri çağrımı bağlamak (MITM, Blackhole). Bu iki kalıp, bu çalışmadaki yeni saldırının da temelidir.</w:t>
      </w:r>
    </w:p>
    <w:p>
      <w:pPr>
        <w:pStyle w:val="Heading3"/>
        <w:bidi w:val="0"/>
        <w:ind w:hanging="0" w:left="0" w:right="0"/>
        <w:rPr/>
      </w:pPr>
      <w:bookmarkStart w:id="11" w:name="22-senaryolarn-ampirik-dogrulanmas"/>
      <w:bookmarkEnd w:id="11"/>
      <w:r>
        <w:rPr/>
        <w:t>2.2 Senaryoların ampirik doğrulanması</w:t>
      </w:r>
    </w:p>
    <w:p>
      <w:pPr>
        <w:pStyle w:val="BodyText"/>
        <w:bidi w:val="0"/>
        <w:rPr/>
      </w:pPr>
      <w:r>
        <w:rPr/>
        <w:t xml:space="preserve">Kaynak çalışmanın senaryoları doğrudan kullanılmadan önce derlenip koşulmuş ve </w:t>
      </w:r>
      <w:r>
        <w:rPr>
          <w:rStyle w:val="Strong"/>
        </w:rPr>
        <w:t>ağı fiilen değiştirip değiştirmedikleri</w:t>
      </w:r>
      <w:r>
        <w:rPr/>
        <w:t xml:space="preserve"> ölçülmüştür. Bu, "kurulum çalışıyor mu" kontrolünün ötesinde bir adımdır: bir saldırı senaryosunun çalıştığının kanıtı, hatasız derlenmesi değil, ürettiği trafiğin normal koşudan </w:t>
      </w:r>
      <w:r>
        <w:rPr>
          <w:rStyle w:val="Strong"/>
        </w:rPr>
        <w:t>ölçülebilir biçimde</w:t>
      </w:r>
      <w:r>
        <w:rPr/>
        <w:t xml:space="preserve"> farklı olmasıdır.</w:t>
      </w:r>
    </w:p>
    <w:p>
      <w:pPr>
        <w:pStyle w:val="BodyText"/>
        <w:bidi w:val="0"/>
        <w:rPr/>
      </w:pPr>
      <w:r>
        <w:rPr/>
        <w:t>Sonuç, beş senaryodan ikisinin çalıştığı, üçünün çalışmadığı yönündedir:</w:t>
      </w:r>
    </w:p>
    <w:tbl>
      <w:tblPr>
        <w:tblW w:w="11339" w:type="dxa"/>
        <w:jc w:val="left"/>
        <w:tblInd w:w="28" w:type="dxa"/>
        <w:tblLayout w:type="fixed"/>
        <w:tblCellMar>
          <w:top w:w="28" w:type="dxa"/>
          <w:left w:w="28" w:type="dxa"/>
          <w:bottom w:w="28" w:type="dxa"/>
          <w:right w:w="28" w:type="dxa"/>
        </w:tblCellMar>
      </w:tblPr>
      <w:tblGrid>
        <w:gridCol w:w="1096"/>
        <w:gridCol w:w="2676"/>
        <w:gridCol w:w="5811"/>
        <w:gridCol w:w="1756"/>
      </w:tblGrid>
      <w:tr>
        <w:trPr>
          <w:tblHeader w:val="true"/>
        </w:trPr>
        <w:tc>
          <w:tcPr>
            <w:tcW w:w="1096" w:type="dxa"/>
            <w:tcBorders/>
            <w:vAlign w:val="center"/>
          </w:tcPr>
          <w:p>
            <w:pPr>
              <w:pStyle w:val="TableHeading"/>
              <w:suppressLineNumbers/>
              <w:shd w:fill="ECECEC" w:val="clear"/>
              <w:bidi w:val="0"/>
              <w:spacing w:before="0" w:after="140"/>
              <w:jc w:val="left"/>
              <w:rPr/>
            </w:pPr>
            <w:r>
              <w:rPr/>
              <w:t>Senaryo</w:t>
            </w:r>
          </w:p>
        </w:tc>
        <w:tc>
          <w:tcPr>
            <w:tcW w:w="2676" w:type="dxa"/>
            <w:tcBorders/>
            <w:vAlign w:val="center"/>
          </w:tcPr>
          <w:p>
            <w:pPr>
              <w:pStyle w:val="TableHeading"/>
              <w:suppressLineNumbers/>
              <w:shd w:fill="ECECEC" w:val="clear"/>
              <w:bidi w:val="0"/>
              <w:spacing w:before="0" w:after="140"/>
              <w:jc w:val="left"/>
              <w:rPr/>
            </w:pPr>
            <w:r>
              <w:rPr/>
              <w:t>Amaçlanan davranış</w:t>
            </w:r>
          </w:p>
        </w:tc>
        <w:tc>
          <w:tcPr>
            <w:tcW w:w="5811" w:type="dxa"/>
            <w:tcBorders/>
            <w:vAlign w:val="center"/>
          </w:tcPr>
          <w:p>
            <w:pPr>
              <w:pStyle w:val="TableHeading"/>
              <w:suppressLineNumbers/>
              <w:shd w:fill="ECECEC" w:val="clear"/>
              <w:bidi w:val="0"/>
              <w:spacing w:before="0" w:after="140"/>
              <w:jc w:val="left"/>
              <w:rPr/>
            </w:pPr>
            <w:r>
              <w:rPr/>
              <w:t>Ölçülen sonuç</w:t>
            </w:r>
          </w:p>
        </w:tc>
        <w:tc>
          <w:tcPr>
            <w:tcW w:w="1756" w:type="dxa"/>
            <w:tcBorders/>
            <w:vAlign w:val="center"/>
          </w:tcPr>
          <w:p>
            <w:pPr>
              <w:pStyle w:val="TableHeading"/>
              <w:suppressLineNumbers/>
              <w:shd w:fill="ECECEC" w:val="clear"/>
              <w:bidi w:val="0"/>
              <w:spacing w:before="0" w:after="140"/>
              <w:jc w:val="left"/>
              <w:rPr/>
            </w:pPr>
            <w:r>
              <w:rPr/>
              <w:t>Durum</w:t>
            </w:r>
          </w:p>
        </w:tc>
      </w:tr>
      <w:tr>
        <w:trPr/>
        <w:tc>
          <w:tcPr>
            <w:tcW w:w="1096" w:type="dxa"/>
            <w:tcBorders/>
            <w:vAlign w:val="center"/>
          </w:tcPr>
          <w:p>
            <w:pPr>
              <w:pStyle w:val="TableContents"/>
              <w:bidi w:val="0"/>
              <w:spacing w:before="0" w:after="140"/>
              <w:jc w:val="left"/>
              <w:rPr/>
            </w:pPr>
            <w:r>
              <w:rPr/>
              <w:t>NORMAL</w:t>
            </w:r>
          </w:p>
        </w:tc>
        <w:tc>
          <w:tcPr>
            <w:tcW w:w="2676" w:type="dxa"/>
            <w:tcBorders/>
            <w:vAlign w:val="center"/>
          </w:tcPr>
          <w:p>
            <w:pPr>
              <w:pStyle w:val="TableContents"/>
              <w:bidi w:val="0"/>
              <w:spacing w:before="0" w:after="140"/>
              <w:jc w:val="left"/>
              <w:rPr/>
            </w:pPr>
            <w:r>
              <w:rPr/>
              <w:t>—</w:t>
            </w:r>
          </w:p>
        </w:tc>
        <w:tc>
          <w:tcPr>
            <w:tcW w:w="5811" w:type="dxa"/>
            <w:tcBorders/>
            <w:vAlign w:val="center"/>
          </w:tcPr>
          <w:p>
            <w:pPr>
              <w:pStyle w:val="TableContents"/>
              <w:bidi w:val="0"/>
              <w:spacing w:before="0" w:after="140"/>
              <w:jc w:val="left"/>
              <w:rPr/>
            </w:pPr>
            <w:r>
              <w:rPr/>
              <w:t>referans koşu</w:t>
            </w:r>
          </w:p>
        </w:tc>
        <w:tc>
          <w:tcPr>
            <w:tcW w:w="1756" w:type="dxa"/>
            <w:tcBorders/>
            <w:vAlign w:val="center"/>
          </w:tcPr>
          <w:p>
            <w:pPr>
              <w:pStyle w:val="TableContents"/>
              <w:bidi w:val="0"/>
              <w:spacing w:before="0" w:after="140"/>
              <w:jc w:val="left"/>
              <w:rPr/>
            </w:pPr>
            <w:r>
              <w:rPr/>
              <w:t>referans</w:t>
            </w:r>
          </w:p>
        </w:tc>
      </w:tr>
      <w:tr>
        <w:trPr/>
        <w:tc>
          <w:tcPr>
            <w:tcW w:w="1096" w:type="dxa"/>
            <w:tcBorders/>
            <w:vAlign w:val="center"/>
          </w:tcPr>
          <w:p>
            <w:pPr>
              <w:pStyle w:val="TableContents"/>
              <w:bidi w:val="0"/>
              <w:spacing w:before="0" w:after="140"/>
              <w:jc w:val="left"/>
              <w:rPr/>
            </w:pPr>
            <w:r>
              <w:rPr>
                <w:rStyle w:val="Strong"/>
              </w:rPr>
              <w:t>DoS</w:t>
            </w:r>
          </w:p>
        </w:tc>
        <w:tc>
          <w:tcPr>
            <w:tcW w:w="2676" w:type="dxa"/>
            <w:tcBorders/>
            <w:vAlign w:val="center"/>
          </w:tcPr>
          <w:p>
            <w:pPr>
              <w:pStyle w:val="TableContents"/>
              <w:bidi w:val="0"/>
              <w:spacing w:before="0" w:after="140"/>
              <w:jc w:val="left"/>
              <w:rPr/>
            </w:pPr>
            <w:r>
              <w:rPr/>
              <w:t>Saldırgan istasyondan UDP flood</w:t>
            </w:r>
          </w:p>
        </w:tc>
        <w:tc>
          <w:tcPr>
            <w:tcW w:w="5811" w:type="dxa"/>
            <w:tcBorders/>
            <w:vAlign w:val="center"/>
          </w:tcPr>
          <w:p>
            <w:pPr>
              <w:pStyle w:val="TableContents"/>
              <w:bidi w:val="0"/>
              <w:spacing w:before="0" w:after="140"/>
              <w:jc w:val="left"/>
              <w:rPr/>
            </w:pPr>
            <w:r>
              <w:rPr/>
              <w:t>Saldırı akışında 2900 paket; gerçek bir flood</w:t>
            </w:r>
          </w:p>
        </w:tc>
        <w:tc>
          <w:tcPr>
            <w:tcW w:w="1756" w:type="dxa"/>
            <w:tcBorders/>
            <w:vAlign w:val="center"/>
          </w:tcPr>
          <w:p>
            <w:pPr>
              <w:pStyle w:val="TableContents"/>
              <w:bidi w:val="0"/>
              <w:spacing w:before="0" w:after="140"/>
              <w:jc w:val="left"/>
              <w:rPr/>
            </w:pPr>
            <w:r>
              <w:rPr>
                <w:rStyle w:val="Strong"/>
              </w:rPr>
              <w:t>çalışıyor</w:t>
            </w:r>
          </w:p>
        </w:tc>
      </w:tr>
      <w:tr>
        <w:trPr/>
        <w:tc>
          <w:tcPr>
            <w:tcW w:w="1096" w:type="dxa"/>
            <w:tcBorders/>
            <w:vAlign w:val="center"/>
          </w:tcPr>
          <w:p>
            <w:pPr>
              <w:pStyle w:val="TableContents"/>
              <w:bidi w:val="0"/>
              <w:spacing w:before="0" w:after="140"/>
              <w:jc w:val="left"/>
              <w:rPr/>
            </w:pPr>
            <w:r>
              <w:rPr>
                <w:rStyle w:val="Strong"/>
              </w:rPr>
              <w:t>DDoS</w:t>
            </w:r>
          </w:p>
        </w:tc>
        <w:tc>
          <w:tcPr>
            <w:tcW w:w="2676" w:type="dxa"/>
            <w:tcBorders/>
            <w:vAlign w:val="center"/>
          </w:tcPr>
          <w:p>
            <w:pPr>
              <w:pStyle w:val="TableContents"/>
              <w:bidi w:val="0"/>
              <w:spacing w:before="0" w:after="140"/>
              <w:jc w:val="left"/>
              <w:rPr/>
            </w:pPr>
            <w:r>
              <w:rPr/>
              <w:t>5 saldırgan düğümden eşzamanlı flood</w:t>
            </w:r>
          </w:p>
        </w:tc>
        <w:tc>
          <w:tcPr>
            <w:tcW w:w="5811" w:type="dxa"/>
            <w:tcBorders/>
            <w:vAlign w:val="center"/>
          </w:tcPr>
          <w:p>
            <w:pPr>
              <w:pStyle w:val="TableContents"/>
              <w:bidi w:val="0"/>
              <w:spacing w:before="0" w:after="140"/>
              <w:jc w:val="left"/>
              <w:rPr/>
            </w:pPr>
            <w:r>
              <w:rPr/>
              <w:t xml:space="preserve">Yalnız 2 meşru akış, kayıp 0, </w:t>
            </w:r>
            <w:r>
              <w:rPr>
                <w:rStyle w:val="Strong"/>
              </w:rPr>
              <w:t>hiç saldırı akışı yok</w:t>
            </w:r>
          </w:p>
        </w:tc>
        <w:tc>
          <w:tcPr>
            <w:tcW w:w="1756" w:type="dxa"/>
            <w:tcBorders/>
            <w:vAlign w:val="center"/>
          </w:tcPr>
          <w:p>
            <w:pPr>
              <w:pStyle w:val="TableContents"/>
              <w:bidi w:val="0"/>
              <w:spacing w:before="0" w:after="140"/>
              <w:jc w:val="left"/>
              <w:rPr/>
            </w:pPr>
            <w:r>
              <w:rPr/>
              <w:t>etkisiz</w:t>
            </w:r>
          </w:p>
        </w:tc>
      </w:tr>
      <w:tr>
        <w:trPr/>
        <w:tc>
          <w:tcPr>
            <w:tcW w:w="1096" w:type="dxa"/>
            <w:tcBorders/>
            <w:vAlign w:val="center"/>
          </w:tcPr>
          <w:p>
            <w:pPr>
              <w:pStyle w:val="TableContents"/>
              <w:bidi w:val="0"/>
              <w:spacing w:before="0" w:after="140"/>
              <w:jc w:val="left"/>
              <w:rPr/>
            </w:pPr>
            <w:r>
              <w:rPr>
                <w:rStyle w:val="Strong"/>
              </w:rPr>
              <w:t>MITM</w:t>
            </w:r>
          </w:p>
        </w:tc>
        <w:tc>
          <w:tcPr>
            <w:tcW w:w="2676" w:type="dxa"/>
            <w:tcBorders/>
            <w:vAlign w:val="center"/>
          </w:tcPr>
          <w:p>
            <w:pPr>
              <w:pStyle w:val="TableContents"/>
              <w:bidi w:val="0"/>
              <w:spacing w:before="0" w:after="140"/>
              <w:jc w:val="left"/>
              <w:rPr/>
            </w:pPr>
            <w:r>
              <w:rPr/>
              <w:t>Saldırgan düğüm paket içeriğini değiştirir</w:t>
            </w:r>
          </w:p>
        </w:tc>
        <w:tc>
          <w:tcPr>
            <w:tcW w:w="5811" w:type="dxa"/>
            <w:tcBorders/>
            <w:vAlign w:val="center"/>
          </w:tcPr>
          <w:p>
            <w:pPr>
              <w:pStyle w:val="TableContents"/>
              <w:bidi w:val="0"/>
              <w:spacing w:before="0" w:after="140"/>
              <w:jc w:val="left"/>
              <w:rPr/>
            </w:pPr>
            <w:r>
              <w:rPr/>
              <w:t>Geri çağrım yalnızca 36 baytlık yönetim çerçevelerini görüyor; 512 baytlık tıbbi veriye hiç dokunmuyor</w:t>
            </w:r>
          </w:p>
        </w:tc>
        <w:tc>
          <w:tcPr>
            <w:tcW w:w="1756" w:type="dxa"/>
            <w:tcBorders/>
            <w:vAlign w:val="center"/>
          </w:tcPr>
          <w:p>
            <w:pPr>
              <w:pStyle w:val="TableContents"/>
              <w:bidi w:val="0"/>
              <w:spacing w:before="0" w:after="140"/>
              <w:jc w:val="left"/>
              <w:rPr/>
            </w:pPr>
            <w:r>
              <w:rPr/>
              <w:t>amaçlananı yapmıyor</w:t>
            </w:r>
          </w:p>
        </w:tc>
      </w:tr>
      <w:tr>
        <w:trPr/>
        <w:tc>
          <w:tcPr>
            <w:tcW w:w="1096" w:type="dxa"/>
            <w:tcBorders/>
            <w:vAlign w:val="center"/>
          </w:tcPr>
          <w:p>
            <w:pPr>
              <w:pStyle w:val="TableContents"/>
              <w:bidi w:val="0"/>
              <w:spacing w:before="0" w:after="140"/>
              <w:jc w:val="left"/>
              <w:rPr/>
            </w:pPr>
            <w:r>
              <w:rPr>
                <w:rStyle w:val="Strong"/>
              </w:rPr>
              <w:t>Blackhole</w:t>
            </w:r>
          </w:p>
        </w:tc>
        <w:tc>
          <w:tcPr>
            <w:tcW w:w="2676" w:type="dxa"/>
            <w:tcBorders/>
            <w:vAlign w:val="center"/>
          </w:tcPr>
          <w:p>
            <w:pPr>
              <w:pStyle w:val="TableContents"/>
              <w:bidi w:val="0"/>
              <w:spacing w:before="0" w:after="140"/>
              <w:jc w:val="left"/>
              <w:rPr/>
            </w:pPr>
            <w:r>
              <w:rPr/>
              <w:t>Saldırgan hasta verisi paketlerini düşürür</w:t>
            </w:r>
          </w:p>
        </w:tc>
        <w:tc>
          <w:tcPr>
            <w:tcW w:w="5811" w:type="dxa"/>
            <w:tcBorders/>
            <w:vAlign w:val="center"/>
          </w:tcPr>
          <w:p>
            <w:pPr>
              <w:pStyle w:val="TableContents"/>
              <w:bidi w:val="0"/>
              <w:spacing w:before="0" w:after="140"/>
              <w:jc w:val="left"/>
              <w:rPr/>
            </w:pPr>
            <w:r>
              <w:rPr/>
              <w:t xml:space="preserve">Akışlar normalle aynı (2197 gönderilen / 1999 alınan, </w:t>
            </w:r>
            <w:r>
              <w:rPr>
                <w:rStyle w:val="Strong"/>
              </w:rPr>
              <w:t>kayıp 0</w:t>
            </w:r>
            <w:r>
              <w:rPr/>
              <w:t>)</w:t>
            </w:r>
          </w:p>
        </w:tc>
        <w:tc>
          <w:tcPr>
            <w:tcW w:w="1756" w:type="dxa"/>
            <w:tcBorders/>
            <w:vAlign w:val="center"/>
          </w:tcPr>
          <w:p>
            <w:pPr>
              <w:pStyle w:val="TableContents"/>
              <w:bidi w:val="0"/>
              <w:spacing w:before="0" w:after="140"/>
              <w:jc w:val="left"/>
              <w:rPr/>
            </w:pPr>
            <w:r>
              <w:rPr/>
              <w:t>hiçbir şey düşürmüyor</w:t>
            </w:r>
          </w:p>
        </w:tc>
      </w:tr>
    </w:tbl>
    <w:p>
      <w:pPr>
        <w:pStyle w:val="BodyText"/>
        <w:bidi w:val="0"/>
        <w:rPr/>
      </w:pPr>
      <w:r>
        <w:rPr/>
        <w:t>Üç arızanın kök nedenleri kodda doğrudan görülebilmektedir:</w:t>
      </w:r>
    </w:p>
    <w:p>
      <w:pPr>
        <w:pStyle w:val="BodyText"/>
        <w:bidi w:val="0"/>
        <w:rPr/>
      </w:pPr>
      <w:r>
        <w:rPr>
          <w:rStyle w:val="Strong"/>
        </w:rPr>
        <w:t>DDoS — saldırgan düğümlerin ağ arayüzü yok.</w:t>
      </w:r>
      <w:r>
        <w:rPr/>
        <w:t xml:space="preserve"> Saldırgan düğümlere IP yığını kuruluyor, fakat Wi-Fi cihazı takılmıyor ve IP adresi atanmıyor:</w:t>
      </w:r>
    </w:p>
    <w:p>
      <w:pPr>
        <w:pStyle w:val="PreformattedText"/>
        <w:bidi w:val="0"/>
        <w:rPr/>
      </w:pPr>
      <w:r>
        <w:rPr>
          <w:rStyle w:val="SourceText"/>
        </w:rPr>
        <w:t>attackerNodes.Create(numAttackerNodes);   // 5 düğüm</w:t>
      </w:r>
    </w:p>
    <w:p>
      <w:pPr>
        <w:pStyle w:val="PreformattedText"/>
        <w:bidi w:val="0"/>
        <w:rPr/>
      </w:pPr>
      <w:r>
        <w:rPr>
          <w:rStyle w:val="SourceText"/>
        </w:rPr>
        <w:t>stack.Install(attackerNodes);             // yalnızca IP yığını</w:t>
      </w:r>
    </w:p>
    <w:p>
      <w:pPr>
        <w:pStyle w:val="PreformattedText"/>
        <w:bidi w:val="0"/>
        <w:spacing w:before="0" w:after="283"/>
        <w:rPr/>
      </w:pPr>
      <w:r>
        <w:rPr>
          <w:rStyle w:val="SourceText"/>
        </w:rPr>
        <w:t>// wifi.Install(..., attackerNodes) yok; address.Assign(...) yok</w:t>
      </w:r>
    </w:p>
    <w:p>
      <w:pPr>
        <w:pStyle w:val="BodyText"/>
        <w:bidi w:val="0"/>
        <w:rPr/>
      </w:pPr>
      <w:r>
        <w:rPr/>
        <w:t>Üzerlerinde bir UDP istemcisi çalışsa bile paketi gönderecek bir ağ cihazı ya da rota bulunmadığından sessiz kalıyorlar.</w:t>
      </w:r>
    </w:p>
    <w:p>
      <w:pPr>
        <w:pStyle w:val="BodyText"/>
        <w:bidi w:val="0"/>
        <w:rPr/>
      </w:pPr>
      <w:r>
        <w:rPr>
          <w:rStyle w:val="Strong"/>
        </w:rPr>
        <w:t>MITM — düğüm ağ yolunda değil, yalnızca pasif bir dinleyici.</w:t>
      </w:r>
      <w:r>
        <w:rPr/>
        <w:t xml:space="preserve"> Geri çağrım, MAC katmanının </w:t>
      </w:r>
      <w:r>
        <w:rPr>
          <w:rStyle w:val="SourceText"/>
        </w:rPr>
        <w:t>MacRx</w:t>
      </w:r>
      <w:r>
        <w:rPr/>
        <w:t xml:space="preserve"> izine bağlanmış durumda. Altyapı modundaki bir Wi-Fi ağında bir istasyonun MAC katmanı üst katmana yalnızca </w:t>
      </w:r>
      <w:r>
        <w:rPr>
          <w:rStyle w:val="Strong"/>
        </w:rPr>
        <w:t>kendisine adreslenmiş</w:t>
      </w:r>
      <w:r>
        <w:rPr/>
        <w:t xml:space="preserve"> çerçeveleri verir; başkasına giden tıbbi veri hiç görünmez. Üstelik geri çağrımın ilk satırı büyük paketleri zaten atlamaktadır:</w:t>
      </w:r>
    </w:p>
    <w:p>
      <w:pPr>
        <w:pStyle w:val="PreformattedText"/>
        <w:bidi w:val="0"/>
        <w:rPr/>
      </w:pPr>
      <w:r>
        <w:rPr>
          <w:rStyle w:val="SourceText"/>
        </w:rPr>
        <w:t>if (packet-&gt;GetSize() &gt; 512) { return; }   // 512 baytlık tıbbi paketi baştan eliyor</w:t>
      </w:r>
    </w:p>
    <w:p>
      <w:pPr>
        <w:pStyle w:val="PreformattedText"/>
        <w:bidi w:val="0"/>
        <w:spacing w:before="0" w:after="283"/>
        <w:rPr/>
      </w:pPr>
      <w:r>
        <w:rPr>
          <w:rStyle w:val="SourceText"/>
        </w:rPr>
        <w:t>Config::ConnectWithoutContext("/NodeList/10/DeviceList/0/Mac/MacRx", ...);</w:t>
      </w:r>
    </w:p>
    <w:p>
      <w:pPr>
        <w:pStyle w:val="BodyText"/>
        <w:bidi w:val="0"/>
        <w:rPr/>
      </w:pPr>
      <w:r>
        <w:rPr>
          <w:rStyle w:val="Strong"/>
        </w:rPr>
        <w:t>Blackhole — iki ayrı hata üst üste.</w:t>
      </w:r>
      <w:r>
        <w:rPr/>
        <w:t xml:space="preserve"> Birincisi, filtre bir </w:t>
      </w:r>
      <w:r>
        <w:rPr>
          <w:rStyle w:val="Strong"/>
        </w:rPr>
        <w:t>katman-2 MAC adresini</w:t>
      </w:r>
      <w:r>
        <w:rPr/>
        <w:t xml:space="preserve"> bir </w:t>
      </w:r>
      <w:r>
        <w:rPr>
          <w:rStyle w:val="SourceText"/>
        </w:rPr>
        <w:t>InetSocketAddress</w:t>
      </w:r>
      <w:r>
        <w:rPr/>
        <w:t xml:space="preserve"> (katman-3 IP:port) ile karşılaştırıyor; tip uyuşmazlığı nedeniyle koşul hiçbir zaman doğru olmuyor. İkincisi, saldırgan düğüme Wi-Fi cihazı takılmadığı için </w:t>
      </w:r>
      <w:r>
        <w:rPr>
          <w:rStyle w:val="SourceText"/>
        </w:rPr>
        <w:t>GetDevice(0)</w:t>
      </w:r>
      <w:r>
        <w:rPr/>
        <w:t xml:space="preserve"> geri döngü (loopback) arayüzünü veriyor ve geri çağrım Wi-Fi trafiğini hiç almıyor:</w:t>
      </w:r>
    </w:p>
    <w:p>
      <w:pPr>
        <w:pStyle w:val="PreformattedText"/>
        <w:bidi w:val="0"/>
        <w:rPr/>
      </w:pPr>
      <w:r>
        <w:rPr>
          <w:rStyle w:val="SourceText"/>
        </w:rPr>
        <w:t>if (protocol == 17 &amp;&amp; from == InetSocketAddress("192.168.1.2", 8080)) { // L2 ile L3 karşılaştırması</w:t>
      </w:r>
    </w:p>
    <w:p>
      <w:pPr>
        <w:pStyle w:val="PreformattedText"/>
        <w:bidi w:val="0"/>
        <w:rPr/>
      </w:pPr>
      <w:r>
        <w:rPr>
          <w:rStyle w:val="SourceText"/>
        </w:rPr>
        <w:t xml:space="preserve">    </w:t>
      </w:r>
      <w:r>
        <w:rPr>
          <w:rStyle w:val="SourceText"/>
        </w:rPr>
        <w:t>return false;                                                       // hiçbir zaman çalışmaz</w:t>
      </w:r>
    </w:p>
    <w:p>
      <w:pPr>
        <w:pStyle w:val="PreformattedText"/>
        <w:bidi w:val="0"/>
        <w:rPr/>
      </w:pPr>
      <w:r>
        <w:rPr>
          <w:rStyle w:val="SourceText"/>
        </w:rPr>
        <w:t>}</w:t>
      </w:r>
    </w:p>
    <w:p>
      <w:pPr>
        <w:pStyle w:val="PreformattedText"/>
        <w:bidi w:val="0"/>
        <w:spacing w:before="0" w:after="283"/>
        <w:rPr/>
      </w:pPr>
      <w:r>
        <w:rPr>
          <w:rStyle w:val="SourceText"/>
        </w:rPr>
        <w:t>Ptr&lt;NetDevice&gt; attackerDevice = attacker-&gt;GetDevice(0);  // Wi-Fi yok → loopback</w:t>
      </w:r>
    </w:p>
    <w:p>
      <w:pPr>
        <w:pStyle w:val="Heading3"/>
        <w:bidi w:val="0"/>
        <w:ind w:hanging="0" w:left="0" w:right="0"/>
        <w:rPr/>
      </w:pPr>
      <w:bookmarkStart w:id="12" w:name="23-bu-bulgunun-calsmaya-etkisi"/>
      <w:bookmarkEnd w:id="12"/>
      <w:r>
        <w:rPr/>
        <w:t>2.3 Bu bulgunun çalışmaya etkisi</w:t>
      </w:r>
    </w:p>
    <w:p>
      <w:pPr>
        <w:pStyle w:val="BodyText"/>
        <w:bidi w:val="0"/>
        <w:rPr/>
      </w:pPr>
      <w:r>
        <w:rPr/>
        <w:t xml:space="preserve">Bu, kaynak çalışmayı geçersiz kılan bir eleştiri olarak değil, </w:t>
      </w:r>
      <w:r>
        <w:rPr>
          <w:rStyle w:val="Strong"/>
        </w:rPr>
        <w:t>bir tasarım kararının gerekçesi</w:t>
      </w:r>
      <w:r>
        <w:rPr/>
        <w:t xml:space="preserve"> olarak sunulmaktadır. Sonuç şudur: senaryolar oldukları gibi kullanılamazlar, çünkü üçü hiçbir saldırı üretmemektedir. Bozuk bir senaryonun ürettiği veriyle eğitilen bir detektör, "saldırı" etiketli ama saldırı içermeyen koşular öğrenir — yani ölçtüğü şey gürültüdür.</w:t>
      </w:r>
    </w:p>
    <w:p>
      <w:pPr>
        <w:pStyle w:val="BodyText"/>
        <w:bidi w:val="0"/>
        <w:rPr/>
      </w:pPr>
      <w:r>
        <w:rPr/>
        <w:t xml:space="preserve">Bu nedenle senaryolar bu çalışmada </w:t>
      </w:r>
      <w:r>
        <w:rPr>
          <w:rStyle w:val="Strong"/>
        </w:rPr>
        <w:t>yeniden yazılmıştır</w:t>
      </w:r>
      <w:r>
        <w:rPr/>
        <w:t xml:space="preserve">. Devralınan şey topoloji, trafik deseni ve saldırı kurma kalıplarıdır; devralınmayan şey saldırıların gerçeklenmesidir. Aynı karar, yeni saldırı için de belirleyici olmuştur: grey-hole, bozuk Blackhole geri çağrımı düzeltilerek değil, </w:t>
      </w:r>
      <w:r>
        <w:rPr>
          <w:rStyle w:val="Strong"/>
        </w:rPr>
        <w:t>ağ yoluna gerçekten yerleşen bir aracı düğüm</w:t>
      </w:r>
      <w:r>
        <w:rPr/>
        <w:t xml:space="preserve"> yazılarak kurulmuştur (§7.1).</w:t>
      </w:r>
    </w:p>
    <w:p>
      <w:pPr>
        <w:pStyle w:val="BodyText"/>
        <w:bidi w:val="0"/>
        <w:rPr/>
      </w:pPr>
      <w:r>
        <w:rPr/>
        <w:t xml:space="preserve">Bir yan sonuç olarak, kaynak çalışmanın "Blackhole" senaryosunun hiçbir paket düşürmediği tespiti, bu çalışmanın kendi </w:t>
      </w:r>
      <w:r>
        <w:rPr>
          <w:rStyle w:val="SourceText"/>
        </w:rPr>
        <w:t>blackhole</w:t>
      </w:r>
      <w:r>
        <w:rPr/>
        <w:t xml:space="preserve"> sınıfının niçin ayrı gerçeklendiğini de açıklamaktadır.</w:t>
      </w:r>
    </w:p>
    <w:p>
      <w:pPr>
        <w:pStyle w:val="Heading3"/>
        <w:bidi w:val="0"/>
        <w:ind w:hanging="0" w:left="0" w:right="0"/>
        <w:rPr/>
      </w:pPr>
      <w:bookmarkStart w:id="13" w:name="24-kaynagn-yaymlanms-verisi-neden-bir-ol"/>
      <w:bookmarkEnd w:id="13"/>
      <w:r>
        <w:rPr/>
        <w:t>2.4 Kaynağın yayımlanmış verisi neden bir ölçüt olarak kullanılamıyor</w:t>
      </w:r>
    </w:p>
    <w:p>
      <w:pPr>
        <w:pStyle w:val="BodyText"/>
        <w:bidi w:val="0"/>
        <w:rPr/>
      </w:pPr>
      <w:r>
        <w:rPr/>
        <w:t xml:space="preserve">Detektörün bağımsız bir veri üzerinde sınanması amacıyla, kaynak çalışmanın </w:t>
      </w:r>
      <w:r>
        <w:rPr>
          <w:rStyle w:val="Strong"/>
        </w:rPr>
        <w:t>kendi yayımladığı</w:t>
      </w:r>
      <w:r>
        <w:rPr/>
        <w:t xml:space="preserve"> FlowMonitor çıktılarından bu çalışmanın şemasıyla birebir uyumlu bir test seti üretilmiştir (60 koşu). Test setini üreten kod, eğitim verisini üreten ayrıştırıcının </w:t>
      </w:r>
      <w:r>
        <w:rPr>
          <w:rStyle w:val="Strong"/>
        </w:rPr>
        <w:t>aynısını</w:t>
      </w:r>
      <w:r>
        <w:rPr/>
        <w:t xml:space="preserve"> çağırır; ayrı bir ayrıştırıcı yazılsaydı özellik tanımları eğitim ile test arasında kayar ve karşılaştırma anlamsızlaşırdı.</w:t>
      </w:r>
    </w:p>
    <w:p>
      <w:pPr>
        <w:pStyle w:val="BodyText"/>
        <w:bidi w:val="0"/>
        <w:rPr/>
      </w:pPr>
      <w:r>
        <w:rPr/>
        <w:t>Üretilen veri incelendiğinde üç bağlayıcı bulgu ortaya çıkmıştır:</w:t>
      </w:r>
    </w:p>
    <w:p>
      <w:pPr>
        <w:pStyle w:val="BodyText"/>
        <w:numPr>
          <w:ilvl w:val="0"/>
          <w:numId w:val="3"/>
        </w:numPr>
        <w:tabs>
          <w:tab w:val="clear" w:pos="1134"/>
          <w:tab w:val="left" w:pos="709" w:leader="none"/>
        </w:tabs>
        <w:bidi w:val="0"/>
        <w:spacing w:before="0" w:after="0"/>
        <w:ind w:hanging="283" w:left="709"/>
        <w:rPr/>
      </w:pPr>
      <w:r>
        <w:rPr>
          <w:rStyle w:val="Strong"/>
        </w:rPr>
        <w:t>Altı etiket, üç ölçüm.</w:t>
      </w:r>
      <w:r>
        <w:rPr/>
        <w:t xml:space="preserve"> Yayımlanan XML dosyaları özet (MD5) karşılaştırmasına sokulduğunda, </w:t>
      </w:r>
      <w:r>
        <w:rPr>
          <w:rStyle w:val="SourceText"/>
        </w:rPr>
        <w:t>normal</w:t>
      </w:r>
      <w:r>
        <w:rPr/>
        <w:t xml:space="preserve"> ile </w:t>
      </w:r>
      <w:r>
        <w:rPr>
          <w:rStyle w:val="SourceText"/>
        </w:rPr>
        <w:t>mqtt</w:t>
      </w:r>
      <w:r>
        <w:rPr/>
        <w:t xml:space="preserve"> koşularının ve </w:t>
      </w:r>
      <w:r>
        <w:rPr>
          <w:rStyle w:val="SourceText"/>
        </w:rPr>
        <w:t>dos</w:t>
      </w:r>
      <w:r>
        <w:rPr/>
        <w:t xml:space="preserve">, </w:t>
      </w:r>
      <w:r>
        <w:rPr>
          <w:rStyle w:val="SourceText"/>
        </w:rPr>
        <w:t>ddos</w:t>
      </w:r>
      <w:r>
        <w:rPr/>
        <w:t xml:space="preserve">, </w:t>
      </w:r>
      <w:r>
        <w:rPr>
          <w:rStyle w:val="SourceText"/>
        </w:rPr>
        <w:t>blackhole</w:t>
      </w:r>
      <w:r>
        <w:rPr/>
        <w:t xml:space="preserve"> koşularının </w:t>
      </w:r>
      <w:r>
        <w:rPr>
          <w:rStyle w:val="Strong"/>
        </w:rPr>
        <w:t>10 tohumun 10'unda da birebir aynı dosyalar</w:t>
      </w:r>
      <w:r>
        <w:rPr/>
        <w:t xml:space="preserve"> olduğu görülmektedir. Yani altı farklı etiket, gerçekte üç farklı ölçüme karşılık gelmektedir. Bu, o veri üzerinde </w:t>
      </w:r>
      <w:r>
        <w:rPr>
          <w:rStyle w:val="Strong"/>
        </w:rPr>
        <w:t>herhangi bir modelin</w:t>
      </w:r>
      <w:r>
        <w:rPr/>
        <w:t xml:space="preserve"> ulaşabileceği makro-F1 skorunu yaklaşık </w:t>
      </w:r>
      <w:r>
        <w:rPr>
          <w:rStyle w:val="Strong"/>
        </w:rPr>
        <w:t>0.36</w:t>
      </w:r>
      <w:r>
        <w:rPr/>
        <w:t xml:space="preserve"> ile sınırlar — model kusursuz çalışsa bile, birbirinin kopyası olan iki koşuya farklı etiket veremez. </w:t>
      </w:r>
    </w:p>
    <w:p>
      <w:pPr>
        <w:pStyle w:val="BodyText"/>
        <w:numPr>
          <w:ilvl w:val="0"/>
          <w:numId w:val="3"/>
        </w:numPr>
        <w:tabs>
          <w:tab w:val="clear" w:pos="1134"/>
          <w:tab w:val="left" w:pos="709" w:leader="none"/>
        </w:tabs>
        <w:bidi w:val="0"/>
        <w:spacing w:before="0" w:after="0"/>
        <w:ind w:hanging="283" w:left="709"/>
        <w:rPr/>
      </w:pPr>
      <w:r>
        <w:rPr>
          <w:rStyle w:val="Strong"/>
        </w:rPr>
        <w:t>Alan kayması (domain shift).</w:t>
      </w:r>
      <w:r>
        <w:rPr/>
        <w:t xml:space="preserve"> Kaynağın topolojisi koşu başına sabit 9 akış üretirken bu çalışmanınki 3–15 akış üretmektedir (normal koşularda 3–7); toplam throughput'un medyanı bu çalışmada kaynağınkinin yaklaşık </w:t>
      </w:r>
      <w:r>
        <w:rPr>
          <w:rStyle w:val="Strong"/>
        </w:rPr>
        <w:t>5 katıdır</w:t>
      </w:r>
      <w:r>
        <w:rPr/>
        <w:t xml:space="preserve"> (11.29 Mbps'e karşı 2.20 Mbps) ve port düzeni ayrıdır. Adlandırılmış 12 özelliğin </w:t>
      </w:r>
      <w:r>
        <w:rPr>
          <w:rStyle w:val="Strong"/>
        </w:rPr>
        <w:t>6'sı</w:t>
      </w:r>
      <w:r>
        <w:rPr/>
        <w:t xml:space="preserve">, kaynağın 60 koşusunun tamamında eğitim verisinin değer aralığının </w:t>
      </w:r>
      <w:r>
        <w:rPr>
          <w:rStyle w:val="Strong"/>
        </w:rPr>
        <w:t>tümüyle dışında</w:t>
      </w:r>
      <w:r>
        <w:rPr/>
        <w:t xml:space="preserve"> kalmaktadır: </w:t>
      </w:r>
      <w:r>
        <w:rPr>
          <w:rStyle w:val="SourceText"/>
        </w:rPr>
        <w:t>max_flow_throughput_mbps</w:t>
      </w:r>
      <w:r>
        <w:rPr/>
        <w:t xml:space="preserve">, </w:t>
      </w:r>
      <w:r>
        <w:rPr>
          <w:rStyle w:val="SourceText"/>
        </w:rPr>
        <w:t>max_flow_txpackets</w:t>
      </w:r>
      <w:r>
        <w:rPr/>
        <w:t xml:space="preserve">, </w:t>
      </w:r>
      <w:r>
        <w:rPr>
          <w:rStyle w:val="SourceText"/>
        </w:rPr>
        <w:t>flow_concentration</w:t>
      </w:r>
      <w:r>
        <w:rPr/>
        <w:t xml:space="preserve">, </w:t>
      </w:r>
      <w:r>
        <w:rPr>
          <w:rStyle w:val="SourceText"/>
        </w:rPr>
        <w:t>monitor_owd_ms</w:t>
      </w:r>
      <w:r>
        <w:rPr/>
        <w:t xml:space="preserve">, </w:t>
      </w:r>
      <w:r>
        <w:rPr>
          <w:rStyle w:val="SourceText"/>
        </w:rPr>
        <w:t>monitor_pdv_ms</w:t>
      </w:r>
      <w:r>
        <w:rPr/>
        <w:t xml:space="preserve">, </w:t>
      </w:r>
      <w:r>
        <w:rPr>
          <w:rStyle w:val="SourceText"/>
        </w:rPr>
        <w:t>victim_startup_lag_ms</w:t>
      </w:r>
      <w:r>
        <w:rPr/>
        <w:t>. İki özellik daha kısmen dışarıdadır (</w:t>
      </w:r>
      <w:r>
        <w:rPr>
          <w:rStyle w:val="SourceText"/>
        </w:rPr>
        <w:t>mean_owd_ms</w:t>
      </w:r>
      <w:r>
        <w:rPr/>
        <w:t xml:space="preserve"> %85, </w:t>
      </w:r>
      <w:r>
        <w:rPr>
          <w:rStyle w:val="SourceText"/>
        </w:rPr>
        <w:t>mean_pdv_ms</w:t>
      </w:r>
      <w:r>
        <w:rPr/>
        <w:t xml:space="preserve"> %50). Karar ağacı toplulukları eğitim aralığının dışına </w:t>
      </w:r>
      <w:r>
        <w:rPr>
          <w:rStyle w:val="Strong"/>
        </w:rPr>
        <w:t>ekstrapolasyon yapamaz</w:t>
      </w:r>
      <w:r>
        <w:rPr/>
        <w:t xml:space="preserve"> — gördükleri son sınır değerine sabitlenirler — dolayısıyla bu girdilerin taşıdığı bilgi model için kullanılamaz durumdadır. </w:t>
      </w:r>
    </w:p>
    <w:p>
      <w:pPr>
        <w:pStyle w:val="BodyText"/>
        <w:numPr>
          <w:ilvl w:val="0"/>
          <w:numId w:val="3"/>
        </w:numPr>
        <w:tabs>
          <w:tab w:val="clear" w:pos="1134"/>
          <w:tab w:val="left" w:pos="709" w:leader="none"/>
        </w:tabs>
        <w:bidi w:val="0"/>
        <w:ind w:hanging="283" w:left="709"/>
        <w:rPr/>
      </w:pPr>
      <w:r>
        <w:rPr>
          <w:rStyle w:val="Strong"/>
        </w:rPr>
        <w:t>Saldırı sinyali normal varyansın içinde.</w:t>
      </w:r>
      <w:r>
        <w:rPr/>
        <w:t xml:space="preserve"> Kaynağın verisinde saldırı koşularıyla normal koşular arasındaki fark yaklaşık %1 düzeyindedir; bu, bu çalışmanın normal koşularının kendi içindeki dalgalanmadan küçüktür. </w:t>
      </w:r>
    </w:p>
    <w:p>
      <w:pPr>
        <w:pStyle w:val="BodyText"/>
        <w:bidi w:val="0"/>
        <w:rPr/>
      </w:pPr>
      <w:r>
        <w:rPr/>
        <w:t xml:space="preserve">Bu üç bulgu birlikte, kaynağın verisinin bir </w:t>
      </w:r>
      <w:r>
        <w:rPr>
          <w:rStyle w:val="Strong"/>
        </w:rPr>
        <w:t>doğruluk kıyaslaması</w:t>
      </w:r>
      <w:r>
        <w:rPr/>
        <w:t xml:space="preserve"> olarak kullanılamayacağını göstermektedir. Bu çalışmada eğitilen detektör, o veri üzerinde </w:t>
      </w:r>
      <w:r>
        <w:rPr>
          <w:rStyle w:val="SourceText"/>
        </w:rPr>
        <w:t>normal</w:t>
      </w:r>
      <w:r>
        <w:rPr/>
        <w:t xml:space="preserve"> etiketli koşular dahil her şeyi tek bir sınıfa atamaktadır — ki bu, detektörün başarısızlığından çok, iki veri kümesinin aynı ölçüm evreninde bulunmadığının göstergesidir. Dolayısıyla bu test seti raporda bir </w:t>
      </w:r>
      <w:r>
        <w:rPr>
          <w:rStyle w:val="Strong"/>
        </w:rPr>
        <w:t>alan kayması probu</w:t>
      </w:r>
      <w:r>
        <w:rPr/>
        <w:t xml:space="preserve"> olarak sunulmakta, bir başarım ölçütü olarak sunulmamaktadır (§8.3).</w:t>
      </w:r>
    </w:p>
    <w:p>
      <w:pPr>
        <w:pStyle w:val="BodyText"/>
        <w:bidi w:val="0"/>
        <w:rPr/>
      </w:pPr>
      <w:r>
        <w:rPr/>
        <w:t xml:space="preserve">Aynı zamanda §2.2'nin sonucunu bağımsız olarak desteklemektedir: </w:t>
      </w:r>
      <w:r>
        <w:rPr>
          <w:rStyle w:val="SourceText"/>
        </w:rPr>
        <w:t>dos</w:t>
      </w:r>
      <w:r>
        <w:rPr/>
        <w:t xml:space="preserve">, </w:t>
      </w:r>
      <w:r>
        <w:rPr>
          <w:rStyle w:val="SourceText"/>
        </w:rPr>
        <w:t>ddos</w:t>
      </w:r>
      <w:r>
        <w:rPr/>
        <w:t xml:space="preserve"> ve </w:t>
      </w:r>
      <w:r>
        <w:rPr>
          <w:rStyle w:val="SourceText"/>
        </w:rPr>
        <w:t>blackhole</w:t>
      </w:r>
      <w:r>
        <w:rPr/>
        <w:t xml:space="preserve"> koşularının birebir aynı dosyalar olması, o üç senaryonun ağ üzerinde birbirinden farklı hiçbir etki üretmediğinin ikinci bir kanıtıdır.</w:t>
      </w:r>
    </w:p>
    <w:p>
      <w:pPr>
        <w:pStyle w:val="HorizontalLine"/>
        <w:bidi w:val="0"/>
        <w:rPr/>
      </w:pPr>
      <w:r>
        <w:rPr/>
      </w:r>
    </w:p>
    <w:p>
      <w:pPr>
        <w:pStyle w:val="Heading2"/>
        <w:bidi w:val="0"/>
        <w:ind w:hanging="0" w:left="0" w:right="0"/>
        <w:rPr/>
      </w:pPr>
      <w:bookmarkStart w:id="14" w:name="3-simulasyon-taban"/>
      <w:bookmarkEnd w:id="14"/>
      <w:r>
        <w:rPr/>
        <w:t>3. Simülasyon tabanı</w:t>
      </w:r>
    </w:p>
    <w:p>
      <w:pPr>
        <w:pStyle w:val="BlockQuotation"/>
        <w:bidi w:val="0"/>
        <w:rPr/>
      </w:pPr>
      <w:r>
        <w:rPr/>
        <w:t xml:space="preserve">Bu bölüm, verinin üretildiği ağı tanımlar: hangi cihazlar var, aralarında ne akıyor ve hangi büyüklükler ölçülüyor. Bölümün ağırlık merkezi topoloji değil, </w:t>
      </w:r>
      <w:r>
        <w:rPr>
          <w:rStyle w:val="Strong"/>
        </w:rPr>
        <w:t>taban gürültüsüdür</w:t>
      </w:r>
      <w:r>
        <w:rPr/>
        <w:t xml:space="preserve">. Sebebi şudur: devralınan simülasyon tamamen belirlenimliydi ve saldırısız koşularda teslim oranı </w:t>
      </w:r>
      <w:r>
        <w:rPr>
          <w:rStyle w:val="Strong"/>
        </w:rPr>
        <w:t>tam olarak 1.0</w:t>
      </w:r>
      <w:r>
        <w:rPr/>
        <w:t xml:space="preserve"> çıkıyordu. Sıfır varyanslı bir taban, her saldırıyı önemsiz biçimde ayrılabilir kılar ve tespit–şiddet eğrisini düzleştirir — yani ölçüm aracını işe yaramaz hale getirir. Bu bölümün büyük kısmı, tabana </w:t>
      </w:r>
      <w:r>
        <w:rPr>
          <w:rStyle w:val="Strong"/>
        </w:rPr>
        <w:t>ölçülebilir ve gerekçelendirilmiş</w:t>
      </w:r>
      <w:r>
        <w:rPr/>
        <w:t xml:space="preserve"> bir gürültü tabanının nasıl kazandırıldığını anlatır.</w:t>
      </w:r>
    </w:p>
    <w:p>
      <w:pPr>
        <w:pStyle w:val="Heading3"/>
        <w:bidi w:val="0"/>
        <w:ind w:hanging="0" w:left="0" w:right="0"/>
        <w:rPr/>
      </w:pPr>
      <w:bookmarkStart w:id="15" w:name="31-topoloji"/>
      <w:bookmarkEnd w:id="15"/>
      <w:r>
        <w:rPr/>
        <w:t>3.1 Topoloji</w:t>
      </w:r>
    </w:p>
    <w:p>
      <w:pPr>
        <w:pStyle w:val="BodyText"/>
        <w:bidi w:val="0"/>
        <w:rPr/>
      </w:pPr>
      <w:r>
        <w:rPr/>
        <w:t>Simüle edilen ağ, bir hastane servisindeki kablosuz segmenti temsil eder:</w:t>
      </w:r>
    </w:p>
    <w:p>
      <w:pPr>
        <w:pStyle w:val="BodyText"/>
        <w:numPr>
          <w:ilvl w:val="0"/>
          <w:numId w:val="4"/>
        </w:numPr>
        <w:tabs>
          <w:tab w:val="clear" w:pos="1134"/>
          <w:tab w:val="left" w:pos="709" w:leader="none"/>
        </w:tabs>
        <w:bidi w:val="0"/>
        <w:spacing w:before="0" w:after="0"/>
        <w:ind w:hanging="283" w:left="709"/>
        <w:rPr/>
      </w:pPr>
      <w:r>
        <w:rPr>
          <w:rStyle w:val="Strong"/>
        </w:rPr>
        <w:t>9 Wi-Fi istasyonu (STA)</w:t>
      </w:r>
      <w:r>
        <w:rPr/>
        <w:t xml:space="preserve"> — hasta başı monitör, akıllı telefon/servis geçidi, ve çeşitli tıbbi cihazlar. </w:t>
      </w:r>
    </w:p>
    <w:p>
      <w:pPr>
        <w:pStyle w:val="BodyText"/>
        <w:numPr>
          <w:ilvl w:val="0"/>
          <w:numId w:val="4"/>
        </w:numPr>
        <w:tabs>
          <w:tab w:val="clear" w:pos="1134"/>
          <w:tab w:val="left" w:pos="709" w:leader="none"/>
        </w:tabs>
        <w:bidi w:val="0"/>
        <w:spacing w:before="0" w:after="0"/>
        <w:ind w:hanging="283" w:left="709"/>
        <w:rPr/>
      </w:pPr>
      <w:r>
        <w:rPr>
          <w:rStyle w:val="Strong"/>
        </w:rPr>
        <w:t>1 erişim noktası (AP)</w:t>
      </w:r>
      <w:r>
        <w:rPr/>
        <w:t xml:space="preserve">, </w:t>
      </w:r>
      <w:r>
        <w:rPr>
          <w:rStyle w:val="SourceText"/>
        </w:rPr>
        <w:t>(0, 0)</w:t>
      </w:r>
      <w:r>
        <w:rPr/>
        <w:t xml:space="preserve"> konumunda sabit. Tüm istasyon-istasyon trafiği bu noktadan geçer; bu ayrıntı ileride önemli olacaktır (§3.3). </w:t>
      </w:r>
    </w:p>
    <w:p>
      <w:pPr>
        <w:pStyle w:val="BodyText"/>
        <w:numPr>
          <w:ilvl w:val="0"/>
          <w:numId w:val="4"/>
        </w:numPr>
        <w:tabs>
          <w:tab w:val="clear" w:pos="1134"/>
          <w:tab w:val="left" w:pos="709" w:leader="none"/>
        </w:tabs>
        <w:bidi w:val="0"/>
        <w:ind w:hanging="283" w:left="709"/>
        <w:rPr/>
      </w:pPr>
      <w:r>
        <w:rPr>
          <w:rStyle w:val="Strong"/>
        </w:rPr>
        <w:t>1 giyilebilir sensör düğümü</w:t>
      </w:r>
      <w:r>
        <w:rPr/>
        <w:t xml:space="preserve"> (Hexoskin tipi göğüs bandı). Bluetooth bağlantısı, düğümü bir istasyona bağlayan noktadan-noktaya bir bağlantıyla temsil edilir: 3 Mbps, 2 ms gecikme. </w:t>
      </w:r>
    </w:p>
    <w:p>
      <w:pPr>
        <w:pStyle w:val="BodyText"/>
        <w:bidi w:val="0"/>
        <w:rPr/>
      </w:pPr>
      <w:r>
        <w:rPr/>
        <w:t xml:space="preserve">Wi-Fi yapılandırması </w:t>
      </w:r>
      <w:r>
        <w:rPr>
          <w:rStyle w:val="Strong"/>
        </w:rPr>
        <w:t>802.11n</w:t>
      </w:r>
      <w:r>
        <w:rPr/>
        <w:t xml:space="preserve">, hız uyarlaması </w:t>
      </w:r>
      <w:r>
        <w:rPr>
          <w:rStyle w:val="Strong"/>
        </w:rPr>
        <w:t>MinstrelHt</w:t>
      </w:r>
      <w:r>
        <w:rPr/>
        <w:t xml:space="preserve">, SSID </w:t>
      </w:r>
      <w:r>
        <w:rPr>
          <w:rStyle w:val="SourceText"/>
        </w:rPr>
        <w:t>HealthNet_24G</w:t>
      </w:r>
      <w:r>
        <w:rPr/>
        <w:t xml:space="preserve">, adres bloğu </w:t>
      </w:r>
      <w:r>
        <w:rPr>
          <w:rStyle w:val="SourceText"/>
        </w:rPr>
        <w:t>192.168.1.0/24</w:t>
      </w:r>
      <w:r>
        <w:rPr/>
        <w:t>. İstasyonlar 10 m aralıklı bir ızgaraya yerleştirilir (satır başına 5 düğüm), yani ağın toplam açıklığı yaklaşık 56 metredir — tek bir servis katının ölçeği. Konumlar sabit değildir: her koşuda her düğüm ±2 m rastgele kaydırılır (§3.3).</w:t>
      </w:r>
    </w:p>
    <w:p>
      <w:pPr>
        <w:pStyle w:val="BodyText"/>
        <w:bidi w:val="0"/>
        <w:rPr/>
      </w:pPr>
      <w:r>
        <w:rPr/>
        <w:t>Simülasyon süresi 30 saniyedir; meşru trafik 1.–20. saniyeler arasında akar. Kalan süre, kuyrukların boşalmasına ve son paketlerin ölçüme girmesine ayrılmıştır.</w:t>
      </w:r>
    </w:p>
    <w:p>
      <w:pPr>
        <w:pStyle w:val="Heading3"/>
        <w:bidi w:val="0"/>
        <w:ind w:hanging="0" w:left="0" w:right="0"/>
        <w:rPr/>
      </w:pPr>
      <w:bookmarkStart w:id="16" w:name="32-trafik-modeli"/>
      <w:bookmarkEnd w:id="16"/>
      <w:r>
        <w:rPr/>
        <w:t>3.2 Trafik modeli</w:t>
      </w:r>
    </w:p>
    <w:p>
      <w:pPr>
        <w:pStyle w:val="BodyText"/>
        <w:bidi w:val="0"/>
        <w:rPr/>
      </w:pPr>
      <w:r>
        <w:rPr/>
        <w:t>Ağdaki akışlar üç gruba ayrılır.</w:t>
      </w:r>
    </w:p>
    <w:p>
      <w:pPr>
        <w:pStyle w:val="BodyText"/>
        <w:bidi w:val="0"/>
        <w:rPr/>
      </w:pPr>
      <w:r>
        <w:rPr>
          <w:rStyle w:val="Strong"/>
        </w:rPr>
        <w:t>Kurban yolu.</w:t>
      </w:r>
      <w:r>
        <w:rPr/>
        <w:t xml:space="preserve"> Çalışmanın merkezindeki akış, STA2'den STA0'a (hasta başı monitör) 8080 portundan giden bir EKG dalga formudur: </w:t>
      </w:r>
      <w:r>
        <w:rPr>
          <w:rStyle w:val="Strong"/>
        </w:rPr>
        <w:t>128 kbps, 128 baytlık paketler</w:t>
      </w:r>
      <w:r>
        <w:rPr/>
        <w:t xml:space="preserve">. Bu, keyfi seçilmiş bir profil değil, gerçek bir klinik telemetri profilidir — </w:t>
      </w:r>
      <w:r>
        <w:rPr>
          <w:rStyle w:val="Emphasis"/>
        </w:rPr>
        <w:t>düşük bit hızı, çok sayıda küçük paket</w:t>
      </w:r>
      <w:r>
        <w:rPr/>
        <w:t xml:space="preserve">. Seçim ölçüm açısından da bilinçlidir: teslim oranının ne kadar ince ölçülebileceğini belirleyen şey bit hızı değil </w:t>
      </w:r>
      <w:r>
        <w:rPr>
          <w:rStyle w:val="Strong"/>
        </w:rPr>
        <w:t>paket sayısıdır</w:t>
      </w:r>
      <w:r>
        <w:rPr/>
        <w:t>. Aynı bant genişliğini büyük paketlerle kullanmak, teslim ekseninin çözünürlüğünü düşürürdü.</w:t>
      </w:r>
    </w:p>
    <w:p>
      <w:pPr>
        <w:pStyle w:val="BodyText"/>
        <w:bidi w:val="0"/>
        <w:rPr/>
      </w:pPr>
      <w:r>
        <w:rPr>
          <w:rStyle w:val="Strong"/>
        </w:rPr>
        <w:t>İkincil meşru akış.</w:t>
      </w:r>
      <w:r>
        <w:rPr/>
        <w:t xml:space="preserve"> Giyilebilir sensörden servis geçidine (STA1), 9090 portundan 64 kbps.</w:t>
      </w:r>
    </w:p>
    <w:p>
      <w:pPr>
        <w:pStyle w:val="BodyText"/>
        <w:bidi w:val="0"/>
        <w:rPr/>
      </w:pPr>
      <w:r>
        <w:rPr>
          <w:rStyle w:val="Strong"/>
        </w:rPr>
        <w:t>Servisin geri kalanı.</w:t>
      </w:r>
      <w:r>
        <w:rPr/>
        <w:t xml:space="preserve"> Dört hafif tıbbi cihaz — ventilatör (64 kbps), pulse oksimetre (8 kbps), tansiyon manşonu (2 kbps), infüzyon pompası (16 kbps) — ve bunlardan farklı olarak bir </w:t>
      </w:r>
      <w:r>
        <w:rPr>
          <w:rStyle w:val="Strong"/>
        </w:rPr>
        <w:t>görüntüleme/video geçidi</w:t>
      </w:r>
      <w:r>
        <w:rPr/>
        <w:t xml:space="preserve"> (1200 baytlık paketler, yüksek hız). Hafif cihazların hepsi gerçek klinik profillere göre ayarlanmıştır: düşük bit hızı, küçük paketler. Bu cihazların görevi kendi başlarına özellik taşımak değil, akış sayısını ve ortam çekişmesini değiştirmektir. Görüntüleme geçidi ise §3.3'te açıklanacağı üzere ayrı ve merkezi bir role sahiptir.</w:t>
      </w:r>
    </w:p>
    <w:p>
      <w:pPr>
        <w:pStyle w:val="BodyText"/>
        <w:bidi w:val="0"/>
        <w:rPr/>
      </w:pPr>
      <w:r>
        <w:rPr/>
        <w:t xml:space="preserve">Arka plan cihazlarının portları, veri çıkarma aşamasının rol tanıdığı portlardan (8080 kurban, 7070 aracı girişi, 9090 telemetri, 9 flood) kasıtlı olarak ayrı tutulmuştur. Böylece bu trafik yapısal ve hacim özelliklerini besler, ama </w:t>
      </w:r>
      <w:r>
        <w:rPr>
          <w:rStyle w:val="SourceText"/>
        </w:rPr>
        <w:t>delivery_ratio</w:t>
      </w:r>
      <w:r>
        <w:rPr/>
        <w:t xml:space="preserve"> yalnızca kurban yolunu ölçmeye devam eder.</w:t>
      </w:r>
    </w:p>
    <w:p>
      <w:pPr>
        <w:pStyle w:val="Heading3"/>
        <w:bidi w:val="0"/>
        <w:ind w:hanging="0" w:left="0" w:right="0"/>
        <w:rPr/>
      </w:pPr>
      <w:bookmarkStart w:id="17" w:name="33-taban-gurultusu-neden-gerekliydi-ve-n"/>
      <w:bookmarkEnd w:id="17"/>
      <w:r>
        <w:rPr/>
        <w:t>3.3 Taban gürültüsü: neden gerekliydi ve nasıl kalibre edildi</w:t>
      </w:r>
    </w:p>
    <w:p>
      <w:pPr>
        <w:pStyle w:val="BodyText"/>
        <w:bidi w:val="0"/>
        <w:rPr/>
      </w:pPr>
      <w:r>
        <w:rPr/>
        <w:t xml:space="preserve">Devralınan simülasyon belirlenimliydi: sabit trafik parametreleri, temiz bir kanal modeli ve sabit düğüm konumları. Sonuç, saldırısız koşularda teslim oranının </w:t>
      </w:r>
      <w:r>
        <w:rPr>
          <w:rStyle w:val="Strong"/>
        </w:rPr>
        <w:t>tam olarak 1.0</w:t>
      </w:r>
      <w:r>
        <w:rPr/>
        <w:t xml:space="preserve"> olması ve koşular arası varyansın </w:t>
      </w:r>
      <w:r>
        <w:rPr>
          <w:rStyle w:val="Strong"/>
        </w:rPr>
        <w:t>sıfır</w:t>
      </w:r>
      <w:r>
        <w:rPr/>
        <w:t xml:space="preserve"> olmasıydı.</w:t>
      </w:r>
    </w:p>
    <w:p>
      <w:pPr>
        <w:pStyle w:val="BodyText"/>
        <w:bidi w:val="0"/>
        <w:rPr/>
      </w:pPr>
      <w:r>
        <w:rPr/>
        <w:t xml:space="preserve">Bunun neden bir kusur olduğu ilk bakışta görünmeyebilir. Sorun şudur: varyansı sıfır olan bir taban karşısında, </w:t>
      </w:r>
      <w:r>
        <w:rPr>
          <w:rStyle w:val="Emphasis"/>
        </w:rPr>
        <w:t>en küçük</w:t>
      </w:r>
      <w:r>
        <w:rPr/>
        <w:t xml:space="preserve"> bozulma bile sonsuz derecede anlamlı görünür. Böyle bir veri üzerinde eğitilen detektörün yüksek skor alması kaçınılmazdır, ama bu skor detektörün yeteneğini değil ölçüm ortamının yapaylığını ölçer. Aynı sebeple tespit–şiddet eğrisi düzleşir: saldırı şiddeti ne olursa olsun tespit 1.0'da kalır, dolayısıyla "tespit nerede bozulmaya başlıyor" sorusu — ki çalışmanın manşet çıktısı budur — sorulamaz hale gelir.</w:t>
      </w:r>
    </w:p>
    <w:p>
      <w:pPr>
        <w:pStyle w:val="BodyText"/>
        <w:bidi w:val="0"/>
        <w:rPr/>
      </w:pPr>
      <w:r>
        <w:rPr/>
        <w:t>Bu nedenle tabana dört katman halinde, tohumla sürülen ve tekrar üretilebilir bir rastgelelik eklenmiştir:</w:t>
      </w:r>
    </w:p>
    <w:p>
      <w:pPr>
        <w:pStyle w:val="BodyText"/>
        <w:numPr>
          <w:ilvl w:val="0"/>
          <w:numId w:val="5"/>
        </w:numPr>
        <w:tabs>
          <w:tab w:val="clear" w:pos="1134"/>
          <w:tab w:val="left" w:pos="709" w:leader="none"/>
        </w:tabs>
        <w:bidi w:val="0"/>
        <w:spacing w:before="0" w:after="0"/>
        <w:ind w:hanging="283" w:left="709"/>
        <w:rPr/>
      </w:pPr>
      <w:r>
        <w:rPr>
          <w:rStyle w:val="Strong"/>
        </w:rPr>
        <w:t>Kanal sönümlemesi.</w:t>
      </w:r>
      <w:r>
        <w:rPr/>
        <w:t xml:space="preserve"> Mevcut mesafeye bağlı yol kaybının üzerine Nakagami hızlı sönümlemesi. </w:t>
      </w:r>
    </w:p>
    <w:p>
      <w:pPr>
        <w:pStyle w:val="BodyText"/>
        <w:numPr>
          <w:ilvl w:val="0"/>
          <w:numId w:val="5"/>
        </w:numPr>
        <w:tabs>
          <w:tab w:val="clear" w:pos="1134"/>
          <w:tab w:val="left" w:pos="709" w:leader="none"/>
        </w:tabs>
        <w:bidi w:val="0"/>
        <w:spacing w:before="0" w:after="0"/>
        <w:ind w:hanging="283" w:left="709"/>
        <w:rPr/>
      </w:pPr>
      <w:r>
        <w:rPr>
          <w:rStyle w:val="Strong"/>
        </w:rPr>
        <w:t>Konum kaymaları.</w:t>
      </w:r>
      <w:r>
        <w:rPr/>
        <w:t xml:space="preserve"> Her düğüm, her koşuda ±2 m rastgele kaydırılır. Bu yalnızca kanalı değiştirmez; farklı </w:t>
      </w:r>
      <w:r>
        <w:rPr>
          <w:rStyle w:val="SourceText"/>
        </w:rPr>
        <w:t>--run</w:t>
      </w:r>
      <w:r>
        <w:rPr/>
        <w:t xml:space="preserve"> değerlerini birbirinin neredeyse kopyası olmaktan çıkarıp gerçekten bağımsız tekrarlara dönüştürür. </w:t>
      </w:r>
    </w:p>
    <w:p>
      <w:pPr>
        <w:pStyle w:val="BodyText"/>
        <w:numPr>
          <w:ilvl w:val="0"/>
          <w:numId w:val="5"/>
        </w:numPr>
        <w:tabs>
          <w:tab w:val="clear" w:pos="1134"/>
          <w:tab w:val="left" w:pos="709" w:leader="none"/>
        </w:tabs>
        <w:bidi w:val="0"/>
        <w:spacing w:before="0" w:after="0"/>
        <w:ind w:hanging="283" w:left="709"/>
        <w:rPr/>
      </w:pPr>
      <w:r>
        <w:rPr>
          <w:rStyle w:val="Strong"/>
        </w:rPr>
        <w:t>Alıcı hatası.</w:t>
      </w:r>
      <w:r>
        <w:rPr/>
        <w:t xml:space="preserve"> Her Wi-Fi cihazının alıcısına, koşu başına </w:t>
      </w:r>
      <w:r>
        <w:rPr>
          <w:rStyle w:val="SourceText"/>
        </w:rPr>
        <w:t>%0.5–2</w:t>
      </w:r>
      <w:r>
        <w:rPr/>
        <w:t xml:space="preserve"> arasında rastgele seçilen bir paket hata oranı verilir. </w:t>
      </w:r>
    </w:p>
    <w:p>
      <w:pPr>
        <w:pStyle w:val="BodyText"/>
        <w:numPr>
          <w:ilvl w:val="0"/>
          <w:numId w:val="5"/>
        </w:numPr>
        <w:tabs>
          <w:tab w:val="clear" w:pos="1134"/>
          <w:tab w:val="left" w:pos="709" w:leader="none"/>
        </w:tabs>
        <w:bidi w:val="0"/>
        <w:ind w:hanging="283" w:left="709"/>
        <w:rPr/>
      </w:pPr>
      <w:r>
        <w:rPr>
          <w:rStyle w:val="Strong"/>
        </w:rPr>
        <w:t>Trafiğin kendisinin rastgeleleştirilmesi.</w:t>
      </w:r>
      <w:r>
        <w:rPr/>
        <w:t xml:space="preserve"> Meşru akışların veri hızı ve paket boyu tabanlarının ±%20'si içinde rastgele seçilir; sabit 1 s açık / 1 s kapalı deseni yerine rastgele süreli patlamalar konur. Bu, görev döngüsünü koşudan koşuya yaklaşık 0.33 ile 0.88 arasında salındırır (ortalama ≈ 0.63), yani </w:t>
      </w:r>
      <w:r>
        <w:rPr>
          <w:rStyle w:val="Strong"/>
        </w:rPr>
        <w:t>teklif edilen yük</w:t>
      </w:r>
      <w:r>
        <w:rPr/>
        <w:t xml:space="preserve"> hiçbir parametre değişmese bile koşular arasında farklılaşır. </w:t>
      </w:r>
    </w:p>
    <w:p>
      <w:pPr>
        <w:pStyle w:val="Heading4"/>
        <w:bidi w:val="0"/>
        <w:ind w:hanging="0" w:left="0" w:right="0"/>
        <w:rPr/>
      </w:pPr>
      <w:bookmarkStart w:id="18" w:name="beklenmeyen-bulgu-baglant-hatas-teslim-o"/>
      <w:bookmarkEnd w:id="18"/>
      <w:r>
        <w:rPr/>
        <w:t>Beklenmeyen bulgu: bağlantı hatası teslim oranını hareket ettirmiyor</w:t>
      </w:r>
    </w:p>
    <w:p>
      <w:pPr>
        <w:pStyle w:val="BodyText"/>
        <w:bidi w:val="0"/>
        <w:rPr/>
      </w:pPr>
      <w:r>
        <w:rPr/>
        <w:t>Yukarıdaki 1. ve 3. katmanların teslim oranını düşürmesi beklenirdi. Ölçüm bunu doğrulamamıştır: teslim oranı hâlâ 1.0'a yapışık kalmıştır.</w:t>
      </w:r>
    </w:p>
    <w:p>
      <w:pPr>
        <w:pStyle w:val="BodyText"/>
        <w:bidi w:val="0"/>
        <w:rPr/>
      </w:pPr>
      <w:r>
        <w:rPr/>
        <w:t xml:space="preserve">Sebep 802.11'in kendi hata düzeltme mekanizmasıdır. MAC katmanındaki </w:t>
      </w:r>
      <w:r>
        <w:rPr>
          <w:rStyle w:val="Strong"/>
        </w:rPr>
        <w:t>ARQ</w:t>
      </w:r>
      <w:r>
        <w:rPr/>
        <w:t xml:space="preserve"> (otomatik tekrar isteği), bozulan bir çerçeveyi yaklaşık yedi kez yeniden gönderir. Yani alıcıya enjekte edilen küçük bir hata oranı, uçtan uca teslime hiç yansımaz — yalnızca fazladan gecikme ve jitter olarak yüzeye çıkar. Benzer biçimde sönümleme de bu kısa, yüksek sinyal-gürültü oranlı bağlantılarda kayıp olarak değil </w:t>
      </w:r>
      <w:r>
        <w:rPr>
          <w:rStyle w:val="Strong"/>
        </w:rPr>
        <w:t>hız uyarlaması</w:t>
      </w:r>
      <w:r>
        <w:rPr/>
        <w:t xml:space="preserve"> olarak görünür: Minstrel, zayıflayan sinyale çerçeveyi düşürerek değil daha yavaş ve dayanıklı bir modülasyona geçerek yanıt verir.</w:t>
      </w:r>
    </w:p>
    <w:p>
      <w:pPr>
        <w:pStyle w:val="BodyText"/>
        <w:bidi w:val="0"/>
        <w:rPr/>
      </w:pPr>
      <w:r>
        <w:rPr/>
        <w:t xml:space="preserve">Bu, tasarımı yönlendiren bir bulgudur: </w:t>
      </w:r>
      <w:r>
        <w:rPr>
          <w:rStyle w:val="Strong"/>
        </w:rPr>
        <w:t>teslim ekseninde gerçek bir gürültü tabanı, bağlantı hatasıyla üretilemez.</w:t>
      </w:r>
    </w:p>
    <w:p>
      <w:pPr>
        <w:pStyle w:val="Heading4"/>
        <w:bidi w:val="0"/>
        <w:ind w:hanging="0" w:left="0" w:right="0"/>
        <w:rPr/>
      </w:pPr>
      <w:bookmarkStart w:id="19" w:name="arqnun-gizleyemedigi-tek-sey-tkanklk"/>
      <w:bookmarkEnd w:id="19"/>
      <w:r>
        <w:rPr/>
        <w:t>ARQ'nun gizleyemediği tek şey: tıkanıklık</w:t>
      </w:r>
    </w:p>
    <w:p>
      <w:pPr>
        <w:pStyle w:val="BodyText"/>
        <w:bidi w:val="0"/>
        <w:rPr/>
      </w:pPr>
      <w:r>
        <w:rPr/>
        <w:t xml:space="preserve">ARQ, havaya çıkmış ve bozulmuş bir çerçeveyi yeniden gönderebilir. </w:t>
      </w:r>
      <w:r>
        <w:rPr>
          <w:rStyle w:val="Strong"/>
        </w:rPr>
        <w:t>Havaya hiç çıkamamış bir paketi yeniden gönderemez.</w:t>
      </w:r>
      <w:r>
        <w:rPr/>
        <w:t xml:space="preserve"> Dolu bir MAC kuyruğundan atılan paket için yeniden gönderilecek bir şey yoktur. Dolayısıyla teslim ekseninin tek fiziksel kaynağı </w:t>
      </w:r>
      <w:r>
        <w:rPr>
          <w:rStyle w:val="Strong"/>
        </w:rPr>
        <w:t>tıkanıklık kaybıdır</w:t>
      </w:r>
      <w:r>
        <w:rPr/>
        <w:t>.</w:t>
      </w:r>
    </w:p>
    <w:p>
      <w:pPr>
        <w:pStyle w:val="BodyText"/>
        <w:bidi w:val="0"/>
        <w:rPr/>
      </w:pPr>
      <w:r>
        <w:rPr/>
        <w:t>Bunu üretebilmek için iki müdahale yapılmıştır:</w:t>
      </w:r>
    </w:p>
    <w:p>
      <w:pPr>
        <w:pStyle w:val="BodyText"/>
        <w:bidi w:val="0"/>
        <w:rPr/>
      </w:pPr>
      <w:r>
        <w:rPr>
          <w:rStyle w:val="Strong"/>
        </w:rPr>
        <w:t>MAC kuyrukları küçültüldü.</w:t>
      </w:r>
      <w:r>
        <w:rPr/>
        <w:t xml:space="preserve"> NS-3'ün varsayılanı 500 pakettir; bu bir yönlendirici ölçeğidir. Gömülü tıbbi cihazlar ve küçük erişim noktaları çok daha az tutar. Kuyruk </w:t>
      </w:r>
      <w:r>
        <w:rPr>
          <w:rStyle w:val="Strong"/>
        </w:rPr>
        <w:t>50 pakete</w:t>
      </w:r>
      <w:r>
        <w:rPr/>
        <w:t xml:space="preserve"> indirilmiştir. Kısa kuyruk, ortam çekişmesini sınırsız gecikmeye değil gerçek paket kaybına çeviren şeydir.</w:t>
      </w:r>
    </w:p>
    <w:p>
      <w:pPr>
        <w:pStyle w:val="BodyText"/>
        <w:bidi w:val="0"/>
        <w:rPr/>
      </w:pPr>
      <w:r>
        <w:rPr>
          <w:rStyle w:val="Strong"/>
        </w:rPr>
        <w:t>Tıkanıklık sürücüsü kalibre edildi.</w:t>
      </w:r>
      <w:r>
        <w:rPr/>
        <w:t xml:space="preserve"> Gerçek bir hastane Wi-Fi'ı yalnızca telemetri taşımaz; görüntüleme aktarımları, video konsültasyonlar ve personel trafiği aynı bandı paylaşır — ve bir IoMT ağını fiilen tıkayan şey bu karışımdır. Görüntüleme geçidinin yükü seçilmemiş, </w:t>
      </w:r>
      <w:r>
        <w:rPr>
          <w:rStyle w:val="Strong"/>
        </w:rPr>
        <w:t>ölçülmüştür</w:t>
      </w:r>
      <w:r>
        <w:rPr/>
        <w:t xml:space="preserve">: bir tarama koşusu, bu ortamın istasyondan istasyona yaklaşık </w:t>
      </w:r>
      <w:r>
        <w:rPr>
          <w:rStyle w:val="Strong"/>
        </w:rPr>
        <w:t>12.9 Mbps</w:t>
      </w:r>
      <w:r>
        <w:rPr/>
        <w:t>'te doyduğunu göstermiştir (her bayt havayı iki kez geçer: STA → AP → STA). Doyum dizinin etrafındaki tepki eğrisi şöyledir:</w:t>
      </w:r>
    </w:p>
    <w:tbl>
      <w:tblPr>
        <w:tblW w:w="4911" w:type="dxa"/>
        <w:jc w:val="left"/>
        <w:tblInd w:w="28" w:type="dxa"/>
        <w:tblLayout w:type="fixed"/>
        <w:tblCellMar>
          <w:top w:w="28" w:type="dxa"/>
          <w:left w:w="28" w:type="dxa"/>
          <w:bottom w:w="28" w:type="dxa"/>
          <w:right w:w="28" w:type="dxa"/>
        </w:tblCellMar>
      </w:tblPr>
      <w:tblGrid>
        <w:gridCol w:w="1669"/>
        <w:gridCol w:w="1248"/>
        <w:gridCol w:w="1994"/>
      </w:tblGrid>
      <w:tr>
        <w:trPr>
          <w:tblHeader w:val="true"/>
        </w:trPr>
        <w:tc>
          <w:tcPr>
            <w:tcW w:w="1669" w:type="dxa"/>
            <w:tcBorders/>
            <w:vAlign w:val="center"/>
          </w:tcPr>
          <w:p>
            <w:pPr>
              <w:pStyle w:val="TableHeading"/>
              <w:suppressLineNumbers/>
              <w:shd w:fill="ECECEC" w:val="clear"/>
              <w:bidi w:val="0"/>
              <w:spacing w:before="0" w:after="140"/>
              <w:jc w:val="left"/>
              <w:rPr/>
            </w:pPr>
            <w:r>
              <w:rPr/>
              <w:t>teklif edilen yük</w:t>
            </w:r>
          </w:p>
        </w:tc>
        <w:tc>
          <w:tcPr>
            <w:tcW w:w="1248" w:type="dxa"/>
            <w:tcBorders/>
            <w:vAlign w:val="center"/>
          </w:tcPr>
          <w:p>
            <w:pPr>
              <w:pStyle w:val="TableHeading"/>
              <w:suppressLineNumbers/>
              <w:shd w:fill="ECECEC" w:val="clear"/>
              <w:bidi w:val="0"/>
              <w:spacing w:before="0" w:after="140"/>
              <w:jc w:val="left"/>
              <w:rPr/>
            </w:pPr>
            <w:r>
              <w:rPr/>
              <w:t>teslim oranı</w:t>
            </w:r>
          </w:p>
        </w:tc>
        <w:tc>
          <w:tcPr>
            <w:tcW w:w="1994" w:type="dxa"/>
            <w:tcBorders/>
            <w:vAlign w:val="center"/>
          </w:tcPr>
          <w:p>
            <w:pPr>
              <w:pStyle w:val="TableHeading"/>
              <w:suppressLineNumbers/>
              <w:shd w:fill="ECECEC" w:val="clear"/>
              <w:bidi w:val="0"/>
              <w:spacing w:before="0" w:after="140"/>
              <w:jc w:val="left"/>
              <w:rPr/>
            </w:pPr>
            <w:r>
              <w:rPr/>
              <w:t>ölçülen throughput</w:t>
            </w:r>
          </w:p>
        </w:tc>
      </w:tr>
      <w:tr>
        <w:trPr/>
        <w:tc>
          <w:tcPr>
            <w:tcW w:w="1669" w:type="dxa"/>
            <w:tcBorders/>
            <w:vAlign w:val="center"/>
          </w:tcPr>
          <w:p>
            <w:pPr>
              <w:pStyle w:val="TableContents"/>
              <w:bidi w:val="0"/>
              <w:spacing w:before="0" w:after="140"/>
              <w:jc w:val="left"/>
              <w:rPr/>
            </w:pPr>
            <w:r>
              <w:rPr/>
              <w:t>8 Mbps</w:t>
            </w:r>
          </w:p>
        </w:tc>
        <w:tc>
          <w:tcPr>
            <w:tcW w:w="1248" w:type="dxa"/>
            <w:tcBorders/>
            <w:vAlign w:val="center"/>
          </w:tcPr>
          <w:p>
            <w:pPr>
              <w:pStyle w:val="TableContents"/>
              <w:bidi w:val="0"/>
              <w:spacing w:before="0" w:after="140"/>
              <w:jc w:val="left"/>
              <w:rPr/>
            </w:pPr>
            <w:r>
              <w:rPr/>
              <w:t>%100.0</w:t>
            </w:r>
          </w:p>
        </w:tc>
        <w:tc>
          <w:tcPr>
            <w:tcW w:w="1994" w:type="dxa"/>
            <w:tcBorders/>
            <w:vAlign w:val="center"/>
          </w:tcPr>
          <w:p>
            <w:pPr>
              <w:pStyle w:val="TableContents"/>
              <w:bidi w:val="0"/>
              <w:spacing w:before="0" w:after="140"/>
              <w:jc w:val="left"/>
              <w:rPr/>
            </w:pPr>
            <w:r>
              <w:rPr/>
              <w:t>5.40 Mbps</w:t>
            </w:r>
          </w:p>
        </w:tc>
      </w:tr>
      <w:tr>
        <w:trPr/>
        <w:tc>
          <w:tcPr>
            <w:tcW w:w="1669" w:type="dxa"/>
            <w:tcBorders/>
            <w:vAlign w:val="center"/>
          </w:tcPr>
          <w:p>
            <w:pPr>
              <w:pStyle w:val="TableContents"/>
              <w:bidi w:val="0"/>
              <w:spacing w:before="0" w:after="140"/>
              <w:jc w:val="left"/>
              <w:rPr/>
            </w:pPr>
            <w:r>
              <w:rPr/>
              <w:t>15 Mbps</w:t>
            </w:r>
          </w:p>
        </w:tc>
        <w:tc>
          <w:tcPr>
            <w:tcW w:w="1248" w:type="dxa"/>
            <w:tcBorders/>
            <w:vAlign w:val="center"/>
          </w:tcPr>
          <w:p>
            <w:pPr>
              <w:pStyle w:val="TableContents"/>
              <w:bidi w:val="0"/>
              <w:spacing w:before="0" w:after="140"/>
              <w:jc w:val="left"/>
              <w:rPr/>
            </w:pPr>
            <w:r>
              <w:rPr/>
              <w:t>%99.9</w:t>
            </w:r>
          </w:p>
        </w:tc>
        <w:tc>
          <w:tcPr>
            <w:tcW w:w="1994" w:type="dxa"/>
            <w:tcBorders/>
            <w:vAlign w:val="center"/>
          </w:tcPr>
          <w:p>
            <w:pPr>
              <w:pStyle w:val="TableContents"/>
              <w:bidi w:val="0"/>
              <w:spacing w:before="0" w:after="140"/>
              <w:jc w:val="left"/>
              <w:rPr/>
            </w:pPr>
            <w:r>
              <w:rPr/>
              <w:t>9.97 Mbps</w:t>
            </w:r>
          </w:p>
        </w:tc>
      </w:tr>
      <w:tr>
        <w:trPr/>
        <w:tc>
          <w:tcPr>
            <w:tcW w:w="1669" w:type="dxa"/>
            <w:tcBorders/>
            <w:vAlign w:val="center"/>
          </w:tcPr>
          <w:p>
            <w:pPr>
              <w:pStyle w:val="TableContents"/>
              <w:bidi w:val="0"/>
              <w:spacing w:before="0" w:after="140"/>
              <w:jc w:val="left"/>
              <w:rPr/>
            </w:pPr>
            <w:r>
              <w:rPr>
                <w:rStyle w:val="Strong"/>
              </w:rPr>
              <w:t>20 Mbps</w:t>
            </w:r>
          </w:p>
        </w:tc>
        <w:tc>
          <w:tcPr>
            <w:tcW w:w="1248" w:type="dxa"/>
            <w:tcBorders/>
            <w:vAlign w:val="center"/>
          </w:tcPr>
          <w:p>
            <w:pPr>
              <w:pStyle w:val="TableContents"/>
              <w:bidi w:val="0"/>
              <w:spacing w:before="0" w:after="140"/>
              <w:jc w:val="left"/>
              <w:rPr/>
            </w:pPr>
            <w:r>
              <w:rPr>
                <w:rStyle w:val="Strong"/>
              </w:rPr>
              <w:t>%97.3</w:t>
            </w:r>
          </w:p>
        </w:tc>
        <w:tc>
          <w:tcPr>
            <w:tcW w:w="1994" w:type="dxa"/>
            <w:tcBorders/>
            <w:vAlign w:val="center"/>
          </w:tcPr>
          <w:p>
            <w:pPr>
              <w:pStyle w:val="TableContents"/>
              <w:bidi w:val="0"/>
              <w:spacing w:before="0" w:after="140"/>
              <w:jc w:val="left"/>
              <w:rPr/>
            </w:pPr>
            <w:r>
              <w:rPr>
                <w:rStyle w:val="Strong"/>
              </w:rPr>
              <w:t>12.82 Mbps</w:t>
            </w:r>
          </w:p>
        </w:tc>
      </w:tr>
      <w:tr>
        <w:trPr/>
        <w:tc>
          <w:tcPr>
            <w:tcW w:w="1669" w:type="dxa"/>
            <w:tcBorders/>
            <w:vAlign w:val="center"/>
          </w:tcPr>
          <w:p>
            <w:pPr>
              <w:pStyle w:val="TableContents"/>
              <w:bidi w:val="0"/>
              <w:spacing w:before="0" w:after="140"/>
              <w:jc w:val="left"/>
              <w:rPr/>
            </w:pPr>
            <w:r>
              <w:rPr/>
              <w:t>25 Mbps</w:t>
            </w:r>
          </w:p>
        </w:tc>
        <w:tc>
          <w:tcPr>
            <w:tcW w:w="1248" w:type="dxa"/>
            <w:tcBorders/>
            <w:vAlign w:val="center"/>
          </w:tcPr>
          <w:p>
            <w:pPr>
              <w:pStyle w:val="TableContents"/>
              <w:bidi w:val="0"/>
              <w:spacing w:before="0" w:after="140"/>
              <w:jc w:val="left"/>
              <w:rPr/>
            </w:pPr>
            <w:r>
              <w:rPr/>
              <w:t>%86.2</w:t>
            </w:r>
          </w:p>
        </w:tc>
        <w:tc>
          <w:tcPr>
            <w:tcW w:w="1994" w:type="dxa"/>
            <w:tcBorders/>
            <w:vAlign w:val="center"/>
          </w:tcPr>
          <w:p>
            <w:pPr>
              <w:pStyle w:val="TableContents"/>
              <w:bidi w:val="0"/>
              <w:spacing w:before="0" w:after="140"/>
              <w:jc w:val="left"/>
              <w:rPr/>
            </w:pPr>
            <w:r>
              <w:rPr/>
              <w:t>12.70 Mbps</w:t>
            </w:r>
          </w:p>
        </w:tc>
      </w:tr>
      <w:tr>
        <w:trPr/>
        <w:tc>
          <w:tcPr>
            <w:tcW w:w="1669" w:type="dxa"/>
            <w:tcBorders/>
            <w:vAlign w:val="center"/>
          </w:tcPr>
          <w:p>
            <w:pPr>
              <w:pStyle w:val="TableContents"/>
              <w:bidi w:val="0"/>
              <w:spacing w:before="0" w:after="140"/>
              <w:jc w:val="left"/>
              <w:rPr/>
            </w:pPr>
            <w:r>
              <w:rPr/>
              <w:t>30 Mbps</w:t>
            </w:r>
          </w:p>
        </w:tc>
        <w:tc>
          <w:tcPr>
            <w:tcW w:w="1248" w:type="dxa"/>
            <w:tcBorders/>
            <w:vAlign w:val="center"/>
          </w:tcPr>
          <w:p>
            <w:pPr>
              <w:pStyle w:val="TableContents"/>
              <w:bidi w:val="0"/>
              <w:spacing w:before="0" w:after="140"/>
              <w:jc w:val="left"/>
              <w:rPr/>
            </w:pPr>
            <w:r>
              <w:rPr/>
              <w:t>%74.1</w:t>
            </w:r>
          </w:p>
        </w:tc>
        <w:tc>
          <w:tcPr>
            <w:tcW w:w="1994" w:type="dxa"/>
            <w:tcBorders/>
            <w:vAlign w:val="center"/>
          </w:tcPr>
          <w:p>
            <w:pPr>
              <w:pStyle w:val="TableContents"/>
              <w:bidi w:val="0"/>
              <w:spacing w:before="0" w:after="140"/>
              <w:jc w:val="left"/>
              <w:rPr/>
            </w:pPr>
            <w:r>
              <w:rPr/>
              <w:t>11.88 Mbps</w:t>
            </w:r>
          </w:p>
        </w:tc>
      </w:tr>
      <w:tr>
        <w:trPr/>
        <w:tc>
          <w:tcPr>
            <w:tcW w:w="1669" w:type="dxa"/>
            <w:tcBorders/>
            <w:vAlign w:val="center"/>
          </w:tcPr>
          <w:p>
            <w:pPr>
              <w:pStyle w:val="TableContents"/>
              <w:bidi w:val="0"/>
              <w:spacing w:before="0" w:after="140"/>
              <w:jc w:val="left"/>
              <w:rPr/>
            </w:pPr>
            <w:r>
              <w:rPr/>
              <w:t>40 Mbps</w:t>
            </w:r>
          </w:p>
        </w:tc>
        <w:tc>
          <w:tcPr>
            <w:tcW w:w="1248" w:type="dxa"/>
            <w:tcBorders/>
            <w:vAlign w:val="center"/>
          </w:tcPr>
          <w:p>
            <w:pPr>
              <w:pStyle w:val="TableContents"/>
              <w:bidi w:val="0"/>
              <w:spacing w:before="0" w:after="140"/>
              <w:jc w:val="left"/>
              <w:rPr/>
            </w:pPr>
            <w:r>
              <w:rPr/>
              <w:t>%62.7</w:t>
            </w:r>
          </w:p>
        </w:tc>
        <w:tc>
          <w:tcPr>
            <w:tcW w:w="1994" w:type="dxa"/>
            <w:tcBorders/>
            <w:vAlign w:val="center"/>
          </w:tcPr>
          <w:p>
            <w:pPr>
              <w:pStyle w:val="TableContents"/>
              <w:bidi w:val="0"/>
              <w:spacing w:before="0" w:after="140"/>
              <w:jc w:val="left"/>
              <w:rPr/>
            </w:pPr>
            <w:r>
              <w:rPr/>
              <w:t>12.93 Mbps</w:t>
            </w:r>
          </w:p>
        </w:tc>
      </w:tr>
    </w:tbl>
    <w:p>
      <w:pPr>
        <w:pStyle w:val="BodyText"/>
        <w:bidi w:val="0"/>
        <w:rPr/>
      </w:pPr>
      <w:r>
        <w:rPr/>
        <w:t xml:space="preserve">Sağdaki sütun doyumu doğrudan gösterir: teklif edilen yük 20 Mbps'i geçtikten sonra ölçülen throughput artmayı bırakır ve ~12.8 Mbps civarında sabitlenir. Fazladan teklif edilen her bit artık taşınmaz, </w:t>
      </w:r>
      <w:r>
        <w:rPr>
          <w:rStyle w:val="Strong"/>
        </w:rPr>
        <w:t>kaybedilir</w:t>
      </w:r>
      <w:r>
        <w:rPr/>
        <w:t xml:space="preserve"> — teslim oranının düşmeye başladığı nokta tam olarak burasıdır.</w:t>
      </w:r>
    </w:p>
    <w:p>
      <w:pPr>
        <w:pStyle w:val="BodyText"/>
        <w:bidi w:val="0"/>
        <w:rPr/>
      </w:pPr>
      <w:r>
        <w:rPr/>
        <w:t xml:space="preserve">Seçilen değer </w:t>
      </w:r>
      <w:r>
        <w:rPr>
          <w:rStyle w:val="Strong"/>
        </w:rPr>
        <w:t>19 Mbps ± %20</w:t>
      </w:r>
      <w:r>
        <w:rPr/>
        <w:t xml:space="preserve">'dir. Gerekçe, bu aralığın dizin noktasının </w:t>
      </w:r>
      <w:r>
        <w:rPr>
          <w:rStyle w:val="Strong"/>
        </w:rPr>
        <w:t>iki yanına da düşmesidir</w:t>
      </w:r>
      <w:r>
        <w:rPr/>
        <w:t>: koşuların bir kısmı tıkanmanın altında, bir kısmı üstünde kalır ve teslim oranı tek bir değere çakılmak yerine yayılır.</w:t>
      </w:r>
    </w:p>
    <w:p>
      <w:pPr>
        <w:pStyle w:val="BodyText"/>
        <w:bidi w:val="0"/>
        <w:rPr/>
      </w:pPr>
      <w:r>
        <w:rPr>
          <w:rStyle w:val="Strong"/>
        </w:rPr>
        <w:t>Yükün her koşuda değişen kısmı ile sabit kısmı bilinçli olarak ayrılmıştır:</w:t>
      </w:r>
    </w:p>
    <w:p>
      <w:pPr>
        <w:pStyle w:val="BodyText"/>
        <w:numPr>
          <w:ilvl w:val="0"/>
          <w:numId w:val="6"/>
        </w:numPr>
        <w:tabs>
          <w:tab w:val="clear" w:pos="1134"/>
          <w:tab w:val="left" w:pos="709" w:leader="none"/>
        </w:tabs>
        <w:bidi w:val="0"/>
        <w:spacing w:before="0" w:after="0"/>
        <w:ind w:hanging="283" w:left="709"/>
        <w:rPr/>
      </w:pPr>
      <w:r>
        <w:rPr>
          <w:rStyle w:val="Strong"/>
        </w:rPr>
        <w:t>Akış sayısı</w:t>
      </w:r>
      <w:r>
        <w:rPr/>
        <w:t xml:space="preserve"> rastgeleleştirilmiştir — her koşuda hafif cihazların </w:t>
      </w:r>
      <w:r>
        <w:rPr>
          <w:rStyle w:val="Emphasis"/>
        </w:rPr>
        <w:t>rastgele bir alt kümesi</w:t>
      </w:r>
      <w:r>
        <w:rPr/>
        <w:t xml:space="preserve"> etkindir. Sebebi bir ölçüm artefaktıdır: normal koşularda akış sayısı sabit 2 iken, "akış sayısı &gt; 2" koşulu bedava ve </w:t>
      </w:r>
      <w:r>
        <w:rPr>
          <w:rStyle w:val="Strong"/>
        </w:rPr>
        <w:t>şiddetten bağımsız</w:t>
      </w:r>
      <w:r>
        <w:rPr/>
        <w:t xml:space="preserve"> bir saldırı bayrağı haline geliyordu. Sabit sayıda arka plan akışı eklemek bunu çözmez, yalnızca bayrağın eşiğini kaydırırdı. </w:t>
      </w:r>
    </w:p>
    <w:p>
      <w:pPr>
        <w:pStyle w:val="BodyText"/>
        <w:numPr>
          <w:ilvl w:val="0"/>
          <w:numId w:val="6"/>
        </w:numPr>
        <w:tabs>
          <w:tab w:val="clear" w:pos="1134"/>
          <w:tab w:val="left" w:pos="709" w:leader="none"/>
        </w:tabs>
        <w:bidi w:val="0"/>
        <w:ind w:hanging="283" w:left="709"/>
        <w:rPr/>
      </w:pPr>
      <w:r>
        <w:rPr>
          <w:rStyle w:val="Strong"/>
        </w:rPr>
        <w:t>Görüntüleme geçidi ise her koşuda açıktır</w:t>
      </w:r>
      <w:r>
        <w:rPr/>
        <w:t xml:space="preserve">, rastgele alt kümeye dahil edilmemiştir. Dahil edilseydi tıkanıklık koşu başına yazı-tura haline gelir ve teslim oranı bir gürültü tabanı değil </w:t>
      </w:r>
      <w:r>
        <w:rPr>
          <w:rStyle w:val="Strong"/>
        </w:rPr>
        <w:t>iki tepeli</w:t>
      </w:r>
      <w:r>
        <w:rPr/>
        <w:t xml:space="preserve"> bir dağılım verirdi (tıkanmamış koşular / tıkanmış koşular). Bunun yerine sabit kalan geçidin </w:t>
      </w:r>
      <w:r>
        <w:rPr>
          <w:rStyle w:val="Strong"/>
        </w:rPr>
        <w:t>hızı</w:t>
      </w:r>
      <w:r>
        <w:rPr/>
        <w:t xml:space="preserve"> koşudan koşuya değişir — yani "servis bu koşuda ne kadar yoğun" sorusu rastgeleleşir, "servis yoğun mu değil mi" sorusu değil. </w:t>
      </w:r>
    </w:p>
    <w:p>
      <w:pPr>
        <w:pStyle w:val="Heading4"/>
        <w:bidi w:val="0"/>
        <w:ind w:hanging="0" w:left="0" w:right="0"/>
        <w:rPr/>
      </w:pPr>
      <w:bookmarkStart w:id="20" w:name="ulaslan-taban"/>
      <w:bookmarkEnd w:id="20"/>
      <w:r>
        <w:rPr/>
        <w:t>Ulaşılan taban</w:t>
      </w:r>
    </w:p>
    <w:p>
      <w:pPr>
        <w:pStyle w:val="BodyText"/>
        <w:bidi w:val="0"/>
        <w:rPr/>
      </w:pPr>
      <w:r>
        <w:rPr/>
        <w:t>Kalibrasyon sonrası, 40 saldırısız koşuda ölçülen değerler:</w:t>
      </w:r>
    </w:p>
    <w:tbl>
      <w:tblPr>
        <w:tblW w:w="7406" w:type="dxa"/>
        <w:jc w:val="left"/>
        <w:tblInd w:w="28" w:type="dxa"/>
        <w:tblLayout w:type="fixed"/>
        <w:tblCellMar>
          <w:top w:w="28" w:type="dxa"/>
          <w:left w:w="28" w:type="dxa"/>
          <w:bottom w:w="28" w:type="dxa"/>
          <w:right w:w="28" w:type="dxa"/>
        </w:tblCellMar>
      </w:tblPr>
      <w:tblGrid>
        <w:gridCol w:w="2578"/>
        <w:gridCol w:w="980"/>
        <w:gridCol w:w="724"/>
        <w:gridCol w:w="1343"/>
        <w:gridCol w:w="1781"/>
      </w:tblGrid>
      <w:tr>
        <w:trPr>
          <w:tblHeader w:val="true"/>
        </w:trPr>
        <w:tc>
          <w:tcPr>
            <w:tcW w:w="2578" w:type="dxa"/>
            <w:tcBorders/>
            <w:vAlign w:val="center"/>
          </w:tcPr>
          <w:p>
            <w:pPr>
              <w:pStyle w:val="TableHeading"/>
              <w:suppressLineNumbers/>
              <w:shd w:fill="ECECEC" w:val="clear"/>
              <w:bidi w:val="0"/>
              <w:spacing w:before="0" w:after="140"/>
              <w:jc w:val="left"/>
              <w:rPr/>
            </w:pPr>
            <w:r>
              <w:rPr/>
              <w:t>büyüklük</w:t>
            </w:r>
          </w:p>
        </w:tc>
        <w:tc>
          <w:tcPr>
            <w:tcW w:w="980" w:type="dxa"/>
            <w:tcBorders/>
            <w:vAlign w:val="center"/>
          </w:tcPr>
          <w:p>
            <w:pPr>
              <w:pStyle w:val="TableHeading"/>
              <w:suppressLineNumbers/>
              <w:shd w:fill="ECECEC" w:val="clear"/>
              <w:bidi w:val="0"/>
              <w:spacing w:before="0" w:after="140"/>
              <w:jc w:val="left"/>
              <w:rPr/>
            </w:pPr>
            <w:r>
              <w:rPr/>
              <w:t>ortalama</w:t>
            </w:r>
          </w:p>
        </w:tc>
        <w:tc>
          <w:tcPr>
            <w:tcW w:w="724" w:type="dxa"/>
            <w:tcBorders/>
            <w:vAlign w:val="center"/>
          </w:tcPr>
          <w:p>
            <w:pPr>
              <w:pStyle w:val="TableHeading"/>
              <w:suppressLineNumbers/>
              <w:shd w:fill="ECECEC" w:val="clear"/>
              <w:bidi w:val="0"/>
              <w:spacing w:before="0" w:after="140"/>
              <w:jc w:val="left"/>
              <w:rPr/>
            </w:pPr>
            <w:r>
              <w:rPr/>
              <w:t>std</w:t>
            </w:r>
          </w:p>
        </w:tc>
        <w:tc>
          <w:tcPr>
            <w:tcW w:w="1343" w:type="dxa"/>
            <w:tcBorders/>
            <w:vAlign w:val="center"/>
          </w:tcPr>
          <w:p>
            <w:pPr>
              <w:pStyle w:val="TableHeading"/>
              <w:suppressLineNumbers/>
              <w:shd w:fill="ECECEC" w:val="clear"/>
              <w:bidi w:val="0"/>
              <w:spacing w:before="0" w:after="140"/>
              <w:jc w:val="left"/>
              <w:rPr/>
            </w:pPr>
            <w:r>
              <w:rPr/>
              <w:t>aralık</w:t>
            </w:r>
          </w:p>
        </w:tc>
        <w:tc>
          <w:tcPr>
            <w:tcW w:w="1781" w:type="dxa"/>
            <w:tcBorders/>
            <w:vAlign w:val="center"/>
          </w:tcPr>
          <w:p>
            <w:pPr>
              <w:pStyle w:val="TableHeading"/>
              <w:suppressLineNumbers/>
              <w:shd w:fill="ECECEC" w:val="clear"/>
              <w:bidi w:val="0"/>
              <w:spacing w:before="0" w:after="140"/>
              <w:jc w:val="left"/>
              <w:rPr/>
            </w:pPr>
            <w:r>
              <w:rPr/>
              <w:t>değişim katsayısı</w:t>
            </w:r>
          </w:p>
        </w:tc>
      </w:tr>
      <w:tr>
        <w:trPr/>
        <w:tc>
          <w:tcPr>
            <w:tcW w:w="2578" w:type="dxa"/>
            <w:tcBorders/>
            <w:vAlign w:val="center"/>
          </w:tcPr>
          <w:p>
            <w:pPr>
              <w:pStyle w:val="TableContents"/>
              <w:bidi w:val="0"/>
              <w:spacing w:before="0" w:after="140"/>
              <w:jc w:val="left"/>
              <w:rPr/>
            </w:pPr>
            <w:r>
              <w:rPr>
                <w:rStyle w:val="SourceText"/>
              </w:rPr>
              <w:t>delivery_ratio</w:t>
            </w:r>
          </w:p>
        </w:tc>
        <w:tc>
          <w:tcPr>
            <w:tcW w:w="980" w:type="dxa"/>
            <w:tcBorders/>
            <w:vAlign w:val="center"/>
          </w:tcPr>
          <w:p>
            <w:pPr>
              <w:pStyle w:val="TableContents"/>
              <w:bidi w:val="0"/>
              <w:spacing w:before="0" w:after="140"/>
              <w:jc w:val="left"/>
              <w:rPr/>
            </w:pPr>
            <w:r>
              <w:rPr/>
              <w:t>0.9695</w:t>
            </w:r>
          </w:p>
        </w:tc>
        <w:tc>
          <w:tcPr>
            <w:tcW w:w="724" w:type="dxa"/>
            <w:tcBorders/>
            <w:vAlign w:val="center"/>
          </w:tcPr>
          <w:p>
            <w:pPr>
              <w:pStyle w:val="TableContents"/>
              <w:bidi w:val="0"/>
              <w:spacing w:before="0" w:after="140"/>
              <w:jc w:val="left"/>
              <w:rPr/>
            </w:pPr>
            <w:r>
              <w:rPr/>
              <w:t>0.0321</w:t>
            </w:r>
          </w:p>
        </w:tc>
        <w:tc>
          <w:tcPr>
            <w:tcW w:w="1343" w:type="dxa"/>
            <w:tcBorders/>
            <w:vAlign w:val="center"/>
          </w:tcPr>
          <w:p>
            <w:pPr>
              <w:pStyle w:val="TableContents"/>
              <w:bidi w:val="0"/>
              <w:spacing w:before="0" w:after="140"/>
              <w:jc w:val="left"/>
              <w:rPr/>
            </w:pPr>
            <w:r>
              <w:rPr/>
              <w:t>0.896 – 1.000</w:t>
            </w:r>
          </w:p>
        </w:tc>
        <w:tc>
          <w:tcPr>
            <w:tcW w:w="1781" w:type="dxa"/>
            <w:tcBorders/>
            <w:vAlign w:val="center"/>
          </w:tcPr>
          <w:p>
            <w:pPr>
              <w:pStyle w:val="TableContents"/>
              <w:bidi w:val="0"/>
              <w:spacing w:before="0" w:after="140"/>
              <w:jc w:val="left"/>
              <w:rPr/>
            </w:pPr>
            <w:r>
              <w:rPr/>
              <w:t>%3.3</w:t>
            </w:r>
          </w:p>
        </w:tc>
      </w:tr>
      <w:tr>
        <w:trPr/>
        <w:tc>
          <w:tcPr>
            <w:tcW w:w="2578" w:type="dxa"/>
            <w:tcBorders/>
            <w:vAlign w:val="center"/>
          </w:tcPr>
          <w:p>
            <w:pPr>
              <w:pStyle w:val="TableContents"/>
              <w:bidi w:val="0"/>
              <w:spacing w:before="0" w:after="140"/>
              <w:jc w:val="left"/>
              <w:rPr/>
            </w:pPr>
            <w:r>
              <w:rPr>
                <w:rStyle w:val="SourceText"/>
              </w:rPr>
              <w:t>total_throughput_mbps</w:t>
            </w:r>
          </w:p>
        </w:tc>
        <w:tc>
          <w:tcPr>
            <w:tcW w:w="980" w:type="dxa"/>
            <w:tcBorders/>
            <w:vAlign w:val="center"/>
          </w:tcPr>
          <w:p>
            <w:pPr>
              <w:pStyle w:val="TableContents"/>
              <w:bidi w:val="0"/>
              <w:spacing w:before="0" w:after="140"/>
              <w:jc w:val="left"/>
              <w:rPr/>
            </w:pPr>
            <w:r>
              <w:rPr/>
              <w:t>12.118</w:t>
            </w:r>
          </w:p>
        </w:tc>
        <w:tc>
          <w:tcPr>
            <w:tcW w:w="724" w:type="dxa"/>
            <w:tcBorders/>
            <w:vAlign w:val="center"/>
          </w:tcPr>
          <w:p>
            <w:pPr>
              <w:pStyle w:val="TableContents"/>
              <w:bidi w:val="0"/>
              <w:spacing w:before="0" w:after="140"/>
              <w:jc w:val="left"/>
              <w:rPr/>
            </w:pPr>
            <w:r>
              <w:rPr/>
              <w:t>1.149</w:t>
            </w:r>
          </w:p>
        </w:tc>
        <w:tc>
          <w:tcPr>
            <w:tcW w:w="1343" w:type="dxa"/>
            <w:tcBorders/>
            <w:vAlign w:val="center"/>
          </w:tcPr>
          <w:p>
            <w:pPr>
              <w:pStyle w:val="TableContents"/>
              <w:bidi w:val="0"/>
              <w:spacing w:before="0" w:after="140"/>
              <w:jc w:val="left"/>
              <w:rPr/>
            </w:pPr>
            <w:r>
              <w:rPr/>
              <w:t>9.79 – 14.30</w:t>
            </w:r>
          </w:p>
        </w:tc>
        <w:tc>
          <w:tcPr>
            <w:tcW w:w="1781" w:type="dxa"/>
            <w:tcBorders/>
            <w:vAlign w:val="center"/>
          </w:tcPr>
          <w:p>
            <w:pPr>
              <w:pStyle w:val="TableContents"/>
              <w:bidi w:val="0"/>
              <w:spacing w:before="0" w:after="140"/>
              <w:jc w:val="left"/>
              <w:rPr/>
            </w:pPr>
            <w:r>
              <w:rPr/>
              <w:t>%9.5</w:t>
            </w:r>
          </w:p>
        </w:tc>
      </w:tr>
      <w:tr>
        <w:trPr/>
        <w:tc>
          <w:tcPr>
            <w:tcW w:w="2578" w:type="dxa"/>
            <w:tcBorders/>
            <w:vAlign w:val="center"/>
          </w:tcPr>
          <w:p>
            <w:pPr>
              <w:pStyle w:val="TableContents"/>
              <w:bidi w:val="0"/>
              <w:spacing w:before="0" w:after="140"/>
              <w:jc w:val="left"/>
              <w:rPr/>
            </w:pPr>
            <w:r>
              <w:rPr>
                <w:rStyle w:val="SourceText"/>
              </w:rPr>
              <w:t>n_flows</w:t>
            </w:r>
          </w:p>
        </w:tc>
        <w:tc>
          <w:tcPr>
            <w:tcW w:w="980" w:type="dxa"/>
            <w:tcBorders/>
            <w:vAlign w:val="center"/>
          </w:tcPr>
          <w:p>
            <w:pPr>
              <w:pStyle w:val="TableContents"/>
              <w:bidi w:val="0"/>
              <w:spacing w:before="0" w:after="140"/>
              <w:jc w:val="left"/>
              <w:rPr/>
            </w:pPr>
            <w:r>
              <w:rPr/>
              <w:t>5.08</w:t>
            </w:r>
          </w:p>
        </w:tc>
        <w:tc>
          <w:tcPr>
            <w:tcW w:w="724" w:type="dxa"/>
            <w:tcBorders/>
            <w:vAlign w:val="center"/>
          </w:tcPr>
          <w:p>
            <w:pPr>
              <w:pStyle w:val="TableContents"/>
              <w:bidi w:val="0"/>
              <w:spacing w:before="0" w:after="140"/>
              <w:jc w:val="left"/>
              <w:rPr/>
            </w:pPr>
            <w:r>
              <w:rPr/>
              <w:t>1.42</w:t>
            </w:r>
          </w:p>
        </w:tc>
        <w:tc>
          <w:tcPr>
            <w:tcW w:w="1343" w:type="dxa"/>
            <w:tcBorders/>
            <w:vAlign w:val="center"/>
          </w:tcPr>
          <w:p>
            <w:pPr>
              <w:pStyle w:val="TableContents"/>
              <w:bidi w:val="0"/>
              <w:spacing w:before="0" w:after="140"/>
              <w:jc w:val="left"/>
              <w:rPr/>
            </w:pPr>
            <w:r>
              <w:rPr/>
              <w:t>3 – 7</w:t>
            </w:r>
          </w:p>
        </w:tc>
        <w:tc>
          <w:tcPr>
            <w:tcW w:w="1781" w:type="dxa"/>
            <w:tcBorders/>
            <w:vAlign w:val="center"/>
          </w:tcPr>
          <w:p>
            <w:pPr>
              <w:pStyle w:val="TableContents"/>
              <w:bidi w:val="0"/>
              <w:spacing w:before="0" w:after="140"/>
              <w:jc w:val="left"/>
              <w:rPr/>
            </w:pPr>
            <w:r>
              <w:rPr/>
              <w:t>%28.0</w:t>
            </w:r>
          </w:p>
        </w:tc>
      </w:tr>
      <w:tr>
        <w:trPr/>
        <w:tc>
          <w:tcPr>
            <w:tcW w:w="2578" w:type="dxa"/>
            <w:tcBorders/>
            <w:vAlign w:val="center"/>
          </w:tcPr>
          <w:p>
            <w:pPr>
              <w:pStyle w:val="TableContents"/>
              <w:bidi w:val="0"/>
              <w:spacing w:before="0" w:after="140"/>
              <w:jc w:val="left"/>
              <w:rPr/>
            </w:pPr>
            <w:r>
              <w:rPr>
                <w:rStyle w:val="SourceText"/>
              </w:rPr>
              <w:t>monitor_owd_ms</w:t>
            </w:r>
          </w:p>
        </w:tc>
        <w:tc>
          <w:tcPr>
            <w:tcW w:w="980" w:type="dxa"/>
            <w:tcBorders/>
            <w:vAlign w:val="center"/>
          </w:tcPr>
          <w:p>
            <w:pPr>
              <w:pStyle w:val="TableContents"/>
              <w:bidi w:val="0"/>
              <w:spacing w:before="0" w:after="140"/>
              <w:jc w:val="left"/>
              <w:rPr/>
            </w:pPr>
            <w:r>
              <w:rPr/>
              <w:t>16.17</w:t>
            </w:r>
          </w:p>
        </w:tc>
        <w:tc>
          <w:tcPr>
            <w:tcW w:w="724" w:type="dxa"/>
            <w:tcBorders/>
            <w:vAlign w:val="center"/>
          </w:tcPr>
          <w:p>
            <w:pPr>
              <w:pStyle w:val="TableContents"/>
              <w:bidi w:val="0"/>
              <w:spacing w:before="0" w:after="140"/>
              <w:jc w:val="left"/>
              <w:rPr/>
            </w:pPr>
            <w:r>
              <w:rPr/>
              <w:t>12.32</w:t>
            </w:r>
          </w:p>
        </w:tc>
        <w:tc>
          <w:tcPr>
            <w:tcW w:w="1343" w:type="dxa"/>
            <w:tcBorders/>
            <w:vAlign w:val="center"/>
          </w:tcPr>
          <w:p>
            <w:pPr>
              <w:pStyle w:val="TableContents"/>
              <w:bidi w:val="0"/>
              <w:spacing w:before="0" w:after="140"/>
              <w:jc w:val="left"/>
              <w:rPr/>
            </w:pPr>
            <w:r>
              <w:rPr/>
              <w:t>2.78 – 47.47</w:t>
            </w:r>
          </w:p>
        </w:tc>
        <w:tc>
          <w:tcPr>
            <w:tcW w:w="1781" w:type="dxa"/>
            <w:tcBorders/>
            <w:vAlign w:val="center"/>
          </w:tcPr>
          <w:p>
            <w:pPr>
              <w:pStyle w:val="TableContents"/>
              <w:bidi w:val="0"/>
              <w:spacing w:before="0" w:after="140"/>
              <w:jc w:val="left"/>
              <w:rPr/>
            </w:pPr>
            <w:r>
              <w:rPr/>
              <w:t>%76.2</w:t>
            </w:r>
          </w:p>
        </w:tc>
      </w:tr>
      <w:tr>
        <w:trPr/>
        <w:tc>
          <w:tcPr>
            <w:tcW w:w="2578" w:type="dxa"/>
            <w:tcBorders/>
            <w:vAlign w:val="center"/>
          </w:tcPr>
          <w:p>
            <w:pPr>
              <w:pStyle w:val="TableContents"/>
              <w:bidi w:val="0"/>
              <w:spacing w:before="0" w:after="140"/>
              <w:jc w:val="left"/>
              <w:rPr/>
            </w:pPr>
            <w:r>
              <w:rPr>
                <w:rStyle w:val="SourceText"/>
              </w:rPr>
              <w:t>monitor_pdv_ms</w:t>
            </w:r>
          </w:p>
        </w:tc>
        <w:tc>
          <w:tcPr>
            <w:tcW w:w="980" w:type="dxa"/>
            <w:tcBorders/>
            <w:vAlign w:val="center"/>
          </w:tcPr>
          <w:p>
            <w:pPr>
              <w:pStyle w:val="TableContents"/>
              <w:bidi w:val="0"/>
              <w:spacing w:before="0" w:after="140"/>
              <w:jc w:val="left"/>
              <w:rPr/>
            </w:pPr>
            <w:r>
              <w:rPr/>
              <w:t>4.92</w:t>
            </w:r>
          </w:p>
        </w:tc>
        <w:tc>
          <w:tcPr>
            <w:tcW w:w="724" w:type="dxa"/>
            <w:tcBorders/>
            <w:vAlign w:val="center"/>
          </w:tcPr>
          <w:p>
            <w:pPr>
              <w:pStyle w:val="TableContents"/>
              <w:bidi w:val="0"/>
              <w:spacing w:before="0" w:after="140"/>
              <w:jc w:val="left"/>
              <w:rPr/>
            </w:pPr>
            <w:r>
              <w:rPr/>
              <w:t>2.27</w:t>
            </w:r>
          </w:p>
        </w:tc>
        <w:tc>
          <w:tcPr>
            <w:tcW w:w="1343" w:type="dxa"/>
            <w:tcBorders/>
            <w:vAlign w:val="center"/>
          </w:tcPr>
          <w:p>
            <w:pPr>
              <w:pStyle w:val="TableContents"/>
              <w:bidi w:val="0"/>
              <w:spacing w:before="0" w:after="140"/>
              <w:jc w:val="left"/>
              <w:rPr/>
            </w:pPr>
            <w:r>
              <w:rPr/>
              <w:t>1.84 – 9.26</w:t>
            </w:r>
          </w:p>
        </w:tc>
        <w:tc>
          <w:tcPr>
            <w:tcW w:w="1781" w:type="dxa"/>
            <w:tcBorders/>
            <w:vAlign w:val="center"/>
          </w:tcPr>
          <w:p>
            <w:pPr>
              <w:pStyle w:val="TableContents"/>
              <w:bidi w:val="0"/>
              <w:spacing w:before="0" w:after="140"/>
              <w:jc w:val="left"/>
              <w:rPr/>
            </w:pPr>
            <w:r>
              <w:rPr/>
              <w:t>%46.1</w:t>
            </w:r>
          </w:p>
        </w:tc>
      </w:tr>
    </w:tbl>
    <w:p>
      <w:pPr>
        <w:pStyle w:val="BodyText"/>
        <w:bidi w:val="0"/>
        <w:rPr/>
      </w:pPr>
      <w:r>
        <w:rPr/>
        <w:t>Teslim oranı artık 1.0'a çakılı değildir ve akış sayısı 3 ile 7 arasında dağılmaktadır. Yani her iki artefakt da giderilmiştir: hem "en küçük bozulma sonsuz anlamlı" durumu, hem de akış sayısının bedava saldırı bayrağı olması.</w:t>
      </w:r>
    </w:p>
    <w:p>
      <w:pPr>
        <w:pStyle w:val="Heading3"/>
        <w:bidi w:val="0"/>
        <w:ind w:hanging="0" w:left="0" w:right="0"/>
        <w:rPr/>
      </w:pPr>
      <w:bookmarkStart w:id="21" w:name="34-parametreler-ve-tohum-yonetimi"/>
      <w:bookmarkEnd w:id="21"/>
      <w:r>
        <w:rPr/>
        <w:t>3.4 Parametreler ve tohum yönetimi</w:t>
      </w:r>
    </w:p>
    <w:p>
      <w:pPr>
        <w:pStyle w:val="BodyText"/>
        <w:bidi w:val="0"/>
        <w:rPr/>
      </w:pPr>
      <w:r>
        <w:rPr/>
        <w:t xml:space="preserve">Kaynak senaryolarda komut satırı parametresi ve rastgele sayı üreteci yönetimi bulunmamaktadır; bu, her koşunun birbirinin aynısı olması demektir. NS-3 varsayılan olarak belirlenimlidir: </w:t>
      </w:r>
      <w:r>
        <w:rPr>
          <w:rStyle w:val="SourceText"/>
        </w:rPr>
        <w:t>--run</w:t>
      </w:r>
      <w:r>
        <w:rPr/>
        <w:t xml:space="preserve"> değiştirilmediği sürece bütün tekrarlar aynı sonucu üretir.</w:t>
      </w:r>
    </w:p>
    <w:p>
      <w:pPr>
        <w:pStyle w:val="BodyText"/>
        <w:bidi w:val="0"/>
        <w:rPr/>
      </w:pPr>
      <w:r>
        <w:rPr/>
        <w:t>Bu çalışmanın senaryolarına aşağıdakiler eklenmiştir:</w:t>
      </w:r>
    </w:p>
    <w:tbl>
      <w:tblPr>
        <w:tblW w:w="8517" w:type="dxa"/>
        <w:jc w:val="left"/>
        <w:tblInd w:w="28" w:type="dxa"/>
        <w:tblLayout w:type="fixed"/>
        <w:tblCellMar>
          <w:top w:w="28" w:type="dxa"/>
          <w:left w:w="28" w:type="dxa"/>
          <w:bottom w:w="28" w:type="dxa"/>
          <w:right w:w="28" w:type="dxa"/>
        </w:tblCellMar>
      </w:tblPr>
      <w:tblGrid>
        <w:gridCol w:w="2573"/>
        <w:gridCol w:w="3740"/>
        <w:gridCol w:w="2204"/>
      </w:tblGrid>
      <w:tr>
        <w:trPr>
          <w:tblHeader w:val="true"/>
        </w:trPr>
        <w:tc>
          <w:tcPr>
            <w:tcW w:w="2573" w:type="dxa"/>
            <w:tcBorders/>
            <w:vAlign w:val="center"/>
          </w:tcPr>
          <w:p>
            <w:pPr>
              <w:pStyle w:val="TableHeading"/>
              <w:suppressLineNumbers/>
              <w:shd w:fill="ECECEC" w:val="clear"/>
              <w:bidi w:val="0"/>
              <w:spacing w:before="0" w:after="140"/>
              <w:jc w:val="left"/>
              <w:rPr/>
            </w:pPr>
            <w:r>
              <w:rPr/>
              <w:t>parametre</w:t>
            </w:r>
          </w:p>
        </w:tc>
        <w:tc>
          <w:tcPr>
            <w:tcW w:w="3740" w:type="dxa"/>
            <w:tcBorders/>
            <w:vAlign w:val="center"/>
          </w:tcPr>
          <w:p>
            <w:pPr>
              <w:pStyle w:val="TableHeading"/>
              <w:suppressLineNumbers/>
              <w:shd w:fill="ECECEC" w:val="clear"/>
              <w:bidi w:val="0"/>
              <w:spacing w:before="0" w:after="140"/>
              <w:jc w:val="left"/>
              <w:rPr/>
            </w:pPr>
            <w:r>
              <w:rPr/>
              <w:t>ne yapar</w:t>
            </w:r>
          </w:p>
        </w:tc>
        <w:tc>
          <w:tcPr>
            <w:tcW w:w="2204" w:type="dxa"/>
            <w:tcBorders/>
            <w:vAlign w:val="center"/>
          </w:tcPr>
          <w:p>
            <w:pPr>
              <w:pStyle w:val="TableHeading"/>
              <w:suppressLineNumbers/>
              <w:shd w:fill="ECECEC" w:val="clear"/>
              <w:bidi w:val="0"/>
              <w:spacing w:before="0" w:after="140"/>
              <w:jc w:val="left"/>
              <w:rPr/>
            </w:pPr>
            <w:r>
              <w:rPr/>
              <w:t>hangi senaryoda</w:t>
            </w:r>
          </w:p>
        </w:tc>
      </w:tr>
      <w:tr>
        <w:trPr/>
        <w:tc>
          <w:tcPr>
            <w:tcW w:w="2573" w:type="dxa"/>
            <w:tcBorders/>
            <w:vAlign w:val="center"/>
          </w:tcPr>
          <w:p>
            <w:pPr>
              <w:pStyle w:val="TableContents"/>
              <w:bidi w:val="0"/>
              <w:spacing w:before="0" w:after="140"/>
              <w:jc w:val="left"/>
              <w:rPr/>
            </w:pPr>
            <w:r>
              <w:rPr>
                <w:rStyle w:val="SourceText"/>
              </w:rPr>
              <w:t>--run</w:t>
            </w:r>
          </w:p>
        </w:tc>
        <w:tc>
          <w:tcPr>
            <w:tcW w:w="3740" w:type="dxa"/>
            <w:tcBorders/>
            <w:vAlign w:val="center"/>
          </w:tcPr>
          <w:p>
            <w:pPr>
              <w:pStyle w:val="TableContents"/>
              <w:bidi w:val="0"/>
              <w:spacing w:before="0" w:after="140"/>
              <w:jc w:val="left"/>
              <w:rPr/>
            </w:pPr>
            <w:r>
              <w:rPr/>
              <w:t>bağımsız tekrar (RNG akışı)</w:t>
            </w:r>
          </w:p>
        </w:tc>
        <w:tc>
          <w:tcPr>
            <w:tcW w:w="2204" w:type="dxa"/>
            <w:tcBorders/>
            <w:vAlign w:val="center"/>
          </w:tcPr>
          <w:p>
            <w:pPr>
              <w:pStyle w:val="TableContents"/>
              <w:bidi w:val="0"/>
              <w:spacing w:before="0" w:after="140"/>
              <w:jc w:val="left"/>
              <w:rPr/>
            </w:pPr>
            <w:r>
              <w:rPr/>
              <w:t>hepsinde</w:t>
            </w:r>
          </w:p>
        </w:tc>
      </w:tr>
      <w:tr>
        <w:trPr/>
        <w:tc>
          <w:tcPr>
            <w:tcW w:w="2573" w:type="dxa"/>
            <w:tcBorders/>
            <w:vAlign w:val="center"/>
          </w:tcPr>
          <w:p>
            <w:pPr>
              <w:pStyle w:val="TableContents"/>
              <w:bidi w:val="0"/>
              <w:spacing w:before="0" w:after="140"/>
              <w:jc w:val="left"/>
              <w:rPr/>
            </w:pPr>
            <w:r>
              <w:rPr>
                <w:rStyle w:val="SourceText"/>
              </w:rPr>
              <w:t>--output</w:t>
            </w:r>
          </w:p>
        </w:tc>
        <w:tc>
          <w:tcPr>
            <w:tcW w:w="3740" w:type="dxa"/>
            <w:tcBorders/>
            <w:vAlign w:val="center"/>
          </w:tcPr>
          <w:p>
            <w:pPr>
              <w:pStyle w:val="TableContents"/>
              <w:bidi w:val="0"/>
              <w:spacing w:before="0" w:after="140"/>
              <w:jc w:val="left"/>
              <w:rPr/>
            </w:pPr>
            <w:r>
              <w:rPr/>
              <w:t>çıktı XML dosyasının adı</w:t>
            </w:r>
          </w:p>
        </w:tc>
        <w:tc>
          <w:tcPr>
            <w:tcW w:w="2204" w:type="dxa"/>
            <w:tcBorders/>
            <w:vAlign w:val="center"/>
          </w:tcPr>
          <w:p>
            <w:pPr>
              <w:pStyle w:val="TableContents"/>
              <w:bidi w:val="0"/>
              <w:spacing w:before="0" w:after="140"/>
              <w:jc w:val="left"/>
              <w:rPr/>
            </w:pPr>
            <w:r>
              <w:rPr/>
              <w:t>hepsinde</w:t>
            </w:r>
          </w:p>
        </w:tc>
      </w:tr>
      <w:tr>
        <w:trPr/>
        <w:tc>
          <w:tcPr>
            <w:tcW w:w="2573" w:type="dxa"/>
            <w:tcBorders/>
            <w:vAlign w:val="center"/>
          </w:tcPr>
          <w:p>
            <w:pPr>
              <w:pStyle w:val="TableContents"/>
              <w:bidi w:val="0"/>
              <w:spacing w:before="0" w:after="140"/>
              <w:jc w:val="left"/>
              <w:rPr/>
            </w:pPr>
            <w:r>
              <w:rPr>
                <w:rStyle w:val="SourceText"/>
              </w:rPr>
              <w:t>--heavy</w:t>
            </w:r>
            <w:r>
              <w:rPr/>
              <w:t xml:space="preserve">, </w:t>
            </w:r>
            <w:r>
              <w:rPr>
                <w:rStyle w:val="SourceText"/>
              </w:rPr>
              <w:t>--heavyspread</w:t>
            </w:r>
          </w:p>
        </w:tc>
        <w:tc>
          <w:tcPr>
            <w:tcW w:w="3740" w:type="dxa"/>
            <w:tcBorders/>
            <w:vAlign w:val="center"/>
          </w:tcPr>
          <w:p>
            <w:pPr>
              <w:pStyle w:val="TableContents"/>
              <w:bidi w:val="0"/>
              <w:spacing w:before="0" w:after="140"/>
              <w:jc w:val="left"/>
              <w:rPr/>
            </w:pPr>
            <w:r>
              <w:rPr/>
              <w:t>tıkanıklık sürücüsünün yükü ve yayılımı</w:t>
            </w:r>
          </w:p>
        </w:tc>
        <w:tc>
          <w:tcPr>
            <w:tcW w:w="2204" w:type="dxa"/>
            <w:tcBorders/>
            <w:vAlign w:val="center"/>
          </w:tcPr>
          <w:p>
            <w:pPr>
              <w:pStyle w:val="TableContents"/>
              <w:bidi w:val="0"/>
              <w:spacing w:before="0" w:after="140"/>
              <w:jc w:val="left"/>
              <w:rPr/>
            </w:pPr>
            <w:r>
              <w:rPr/>
              <w:t>hepsinde (kalibrasyon)</w:t>
            </w:r>
          </w:p>
        </w:tc>
      </w:tr>
      <w:tr>
        <w:trPr/>
        <w:tc>
          <w:tcPr>
            <w:tcW w:w="2573" w:type="dxa"/>
            <w:tcBorders/>
            <w:vAlign w:val="center"/>
          </w:tcPr>
          <w:p>
            <w:pPr>
              <w:pStyle w:val="TableContents"/>
              <w:bidi w:val="0"/>
              <w:spacing w:before="0" w:after="140"/>
              <w:jc w:val="left"/>
              <w:rPr/>
            </w:pPr>
            <w:r>
              <w:rPr>
                <w:rStyle w:val="SourceText"/>
              </w:rPr>
              <w:t>--rate</w:t>
            </w:r>
          </w:p>
        </w:tc>
        <w:tc>
          <w:tcPr>
            <w:tcW w:w="3740" w:type="dxa"/>
            <w:tcBorders/>
            <w:vAlign w:val="center"/>
          </w:tcPr>
          <w:p>
            <w:pPr>
              <w:pStyle w:val="TableContents"/>
              <w:bidi w:val="0"/>
              <w:spacing w:before="0" w:after="140"/>
              <w:jc w:val="left"/>
              <w:rPr/>
            </w:pPr>
            <w:r>
              <w:rPr/>
              <w:t>flood hızı (paket/s)</w:t>
            </w:r>
          </w:p>
        </w:tc>
        <w:tc>
          <w:tcPr>
            <w:tcW w:w="2204" w:type="dxa"/>
            <w:tcBorders/>
            <w:vAlign w:val="center"/>
          </w:tcPr>
          <w:p>
            <w:pPr>
              <w:pStyle w:val="TableContents"/>
              <w:bidi w:val="0"/>
              <w:spacing w:before="0" w:after="140"/>
              <w:jc w:val="left"/>
              <w:rPr/>
            </w:pPr>
            <w:r>
              <w:rPr/>
              <w:t>dos, ddos</w:t>
            </w:r>
          </w:p>
        </w:tc>
      </w:tr>
      <w:tr>
        <w:trPr/>
        <w:tc>
          <w:tcPr>
            <w:tcW w:w="2573" w:type="dxa"/>
            <w:tcBorders/>
            <w:vAlign w:val="center"/>
          </w:tcPr>
          <w:p>
            <w:pPr>
              <w:pStyle w:val="TableContents"/>
              <w:bidi w:val="0"/>
              <w:spacing w:before="0" w:after="140"/>
              <w:jc w:val="left"/>
              <w:rPr/>
            </w:pPr>
            <w:r>
              <w:rPr>
                <w:rStyle w:val="SourceText"/>
              </w:rPr>
              <w:t>--nattackers</w:t>
            </w:r>
          </w:p>
        </w:tc>
        <w:tc>
          <w:tcPr>
            <w:tcW w:w="3740" w:type="dxa"/>
            <w:tcBorders/>
            <w:vAlign w:val="center"/>
          </w:tcPr>
          <w:p>
            <w:pPr>
              <w:pStyle w:val="TableContents"/>
              <w:bidi w:val="0"/>
              <w:spacing w:before="0" w:after="140"/>
              <w:jc w:val="left"/>
              <w:rPr/>
            </w:pPr>
            <w:r>
              <w:rPr/>
              <w:t>eşzamanlı saldırgan sayısı</w:t>
            </w:r>
          </w:p>
        </w:tc>
        <w:tc>
          <w:tcPr>
            <w:tcW w:w="2204" w:type="dxa"/>
            <w:tcBorders/>
            <w:vAlign w:val="center"/>
          </w:tcPr>
          <w:p>
            <w:pPr>
              <w:pStyle w:val="TableContents"/>
              <w:bidi w:val="0"/>
              <w:spacing w:before="0" w:after="140"/>
              <w:jc w:val="left"/>
              <w:rPr/>
            </w:pPr>
            <w:r>
              <w:rPr/>
              <w:t>ddos</w:t>
            </w:r>
          </w:p>
        </w:tc>
      </w:tr>
      <w:tr>
        <w:trPr/>
        <w:tc>
          <w:tcPr>
            <w:tcW w:w="2573" w:type="dxa"/>
            <w:tcBorders/>
            <w:vAlign w:val="center"/>
          </w:tcPr>
          <w:p>
            <w:pPr>
              <w:pStyle w:val="TableContents"/>
              <w:bidi w:val="0"/>
              <w:spacing w:before="0" w:after="140"/>
              <w:jc w:val="left"/>
              <w:rPr/>
            </w:pPr>
            <w:r>
              <w:rPr>
                <w:rStyle w:val="SourceText"/>
              </w:rPr>
              <w:t>--p</w:t>
            </w:r>
          </w:p>
        </w:tc>
        <w:tc>
          <w:tcPr>
            <w:tcW w:w="3740" w:type="dxa"/>
            <w:tcBorders/>
            <w:vAlign w:val="center"/>
          </w:tcPr>
          <w:p>
            <w:pPr>
              <w:pStyle w:val="TableContents"/>
              <w:bidi w:val="0"/>
              <w:spacing w:before="0" w:after="140"/>
              <w:jc w:val="left"/>
              <w:rPr/>
            </w:pPr>
            <w:r>
              <w:rPr/>
              <w:t>paket düşürme olasılığı</w:t>
            </w:r>
          </w:p>
        </w:tc>
        <w:tc>
          <w:tcPr>
            <w:tcW w:w="2204" w:type="dxa"/>
            <w:tcBorders/>
            <w:vAlign w:val="center"/>
          </w:tcPr>
          <w:p>
            <w:pPr>
              <w:pStyle w:val="TableContents"/>
              <w:bidi w:val="0"/>
              <w:spacing w:before="0" w:after="140"/>
              <w:jc w:val="left"/>
              <w:rPr/>
            </w:pPr>
            <w:r>
              <w:rPr/>
              <w:t>grey-hole</w:t>
            </w:r>
          </w:p>
        </w:tc>
      </w:tr>
      <w:tr>
        <w:trPr/>
        <w:tc>
          <w:tcPr>
            <w:tcW w:w="2573" w:type="dxa"/>
            <w:tcBorders/>
            <w:vAlign w:val="center"/>
          </w:tcPr>
          <w:p>
            <w:pPr>
              <w:pStyle w:val="TableContents"/>
              <w:bidi w:val="0"/>
              <w:spacing w:before="0" w:after="140"/>
              <w:jc w:val="left"/>
              <w:rPr/>
            </w:pPr>
            <w:r>
              <w:rPr>
                <w:rStyle w:val="SourceText"/>
              </w:rPr>
              <w:t>--delay</w:t>
            </w:r>
          </w:p>
        </w:tc>
        <w:tc>
          <w:tcPr>
            <w:tcW w:w="3740" w:type="dxa"/>
            <w:tcBorders/>
            <w:vAlign w:val="center"/>
          </w:tcPr>
          <w:p>
            <w:pPr>
              <w:pStyle w:val="TableContents"/>
              <w:bidi w:val="0"/>
              <w:spacing w:before="0" w:after="140"/>
              <w:jc w:val="left"/>
              <w:rPr/>
            </w:pPr>
            <w:r>
              <w:rPr/>
              <w:t>eklenen tutma süresi</w:t>
            </w:r>
          </w:p>
        </w:tc>
        <w:tc>
          <w:tcPr>
            <w:tcW w:w="2204" w:type="dxa"/>
            <w:tcBorders/>
            <w:vAlign w:val="center"/>
          </w:tcPr>
          <w:p>
            <w:pPr>
              <w:pStyle w:val="TableContents"/>
              <w:bidi w:val="0"/>
              <w:spacing w:before="0" w:after="140"/>
              <w:jc w:val="left"/>
              <w:rPr/>
            </w:pPr>
            <w:r>
              <w:rPr/>
              <w:t>timing-MITM</w:t>
            </w:r>
          </w:p>
        </w:tc>
      </w:tr>
    </w:tbl>
    <w:p>
      <w:pPr>
        <w:pStyle w:val="BodyText"/>
        <w:bidi w:val="0"/>
        <w:rPr/>
      </w:pPr>
      <w:r>
        <w:rPr/>
        <w:t>Taban tohum sabit tutulur (</w:t>
      </w:r>
      <w:r>
        <w:rPr>
          <w:rStyle w:val="SourceText"/>
        </w:rPr>
        <w:t>RngSeedManager::SetSeed(1)</w:t>
      </w:r>
      <w:r>
        <w:rPr/>
        <w:t xml:space="preserve">) ve tekrarlar </w:t>
      </w:r>
      <w:r>
        <w:rPr>
          <w:rStyle w:val="SourceText"/>
        </w:rPr>
        <w:t>SetRun(--run)</w:t>
      </w:r>
      <w:r>
        <w:rPr/>
        <w:t xml:space="preserve"> ile ayrılır. Bu, iki özelliği aynı anda sağlar: farklı </w:t>
      </w:r>
      <w:r>
        <w:rPr>
          <w:rStyle w:val="SourceText"/>
        </w:rPr>
        <w:t>--run</w:t>
      </w:r>
      <w:r>
        <w:rPr/>
        <w:t xml:space="preserve"> değerleri istatistiksel olarak bağımsızdır, ve aynı </w:t>
      </w:r>
      <w:r>
        <w:rPr>
          <w:rStyle w:val="SourceText"/>
        </w:rPr>
        <w:t>--run</w:t>
      </w:r>
      <w:r>
        <w:rPr/>
        <w:t xml:space="preserve"> değeri her zaman </w:t>
      </w:r>
      <w:r>
        <w:rPr>
          <w:rStyle w:val="Strong"/>
        </w:rPr>
        <w:t>birebir aynı</w:t>
      </w:r>
      <w:r>
        <w:rPr/>
        <w:t xml:space="preserve"> koşuyu yeniden üretir.</w:t>
      </w:r>
    </w:p>
    <w:p>
      <w:pPr>
        <w:pStyle w:val="BodyText"/>
        <w:bidi w:val="0"/>
        <w:rPr/>
      </w:pPr>
      <w:r>
        <w:rPr/>
        <w:t>Senaryolar tek tek elle koşulmaz; bir tarama betiği (</w:t>
      </w:r>
      <w:r>
        <w:rPr>
          <w:rStyle w:val="SourceText"/>
        </w:rPr>
        <w:t>run_sweep.py</w:t>
      </w:r>
      <w:r>
        <w:rPr/>
        <w:t>) simülasyonu bir kez derler ve bütün senaryo × şiddet × tohum kombinasyonlarını sırayla çalıştırarak ham çıktıları ve bir künye dosyası üretir.</w:t>
      </w:r>
    </w:p>
    <w:p>
      <w:pPr>
        <w:pStyle w:val="Heading3"/>
        <w:bidi w:val="0"/>
        <w:ind w:hanging="0" w:left="0" w:right="0"/>
        <w:rPr/>
      </w:pPr>
      <w:bookmarkStart w:id="22" w:name="35-olcum"/>
      <w:bookmarkEnd w:id="22"/>
      <w:r>
        <w:rPr/>
        <w:t>3.5 Ölçüm</w:t>
      </w:r>
    </w:p>
    <w:p>
      <w:pPr>
        <w:pStyle w:val="BodyText"/>
        <w:bidi w:val="0"/>
        <w:rPr/>
      </w:pPr>
      <w:r>
        <w:rPr/>
        <w:t xml:space="preserve">Her koşuda NS-3'ün </w:t>
      </w:r>
      <w:r>
        <w:rPr>
          <w:rStyle w:val="Strong"/>
        </w:rPr>
        <w:t>FlowMonitor</w:t>
      </w:r>
      <w:r>
        <w:rPr/>
        <w:t xml:space="preserve"> modülü etkinleştirilir. FlowMonitor, simülasyon boyunca her </w:t>
      </w:r>
      <w:r>
        <w:rPr>
          <w:rStyle w:val="Emphasis"/>
        </w:rPr>
        <w:t>akış</w:t>
      </w:r>
      <w:r>
        <w:rPr/>
        <w:t xml:space="preserve"> için — burada akış, bir (kaynak IP, hedef IP, protokol, kaynak port, hedef port) beşlisi demektir — gönderilen ve alınan paket ve bayt sayılarını, kaybolan paketleri, toplam gecikmeyi ve toplam jitter'ı biriktirir. Koşu bitiminde bunlar bir XML dosyasına yazılır.</w:t>
      </w:r>
    </w:p>
    <w:p>
      <w:pPr>
        <w:pStyle w:val="BodyText"/>
        <w:bidi w:val="0"/>
        <w:rPr/>
      </w:pPr>
      <w:r>
        <w:rPr/>
        <w:t>Bir sonraki bölüm, bu ham akış kayıtlarının nasıl koşu başına tek bir öznitelik vektörüne dönüştürüldüğünü anlatır.</w:t>
      </w:r>
    </w:p>
    <w:p>
      <w:pPr>
        <w:pStyle w:val="Heading2"/>
        <w:bidi w:val="0"/>
        <w:ind w:hanging="0" w:left="0" w:right="0"/>
        <w:rPr/>
      </w:pPr>
      <w:bookmarkStart w:id="23" w:name="4-veri-seti"/>
      <w:bookmarkEnd w:id="23"/>
      <w:r>
        <w:rPr/>
        <w:t>4. Veri seti</w:t>
      </w:r>
    </w:p>
    <w:p>
      <w:pPr>
        <w:pStyle w:val="BlockQuotation"/>
        <w:bidi w:val="0"/>
        <w:rPr/>
      </w:pPr>
      <w:r>
        <w:rPr>
          <w:rStyle w:val="Emphasis"/>
          <w:i/>
          <w:iCs/>
        </w:rPr>
        <w:t>(Yazılacak: "koşu" neden örneklem birimi seçildi; üç ölçüm modalitesi — hacim, teslim, zamanlama; 13 özelliğin tanımı ve hangi ham FlowMonitor büyüklüğünden türediği; şiddet eksenleri; eğitim sınıfı ile değerlendirme probu ayrımı ve kuralı.)</w:t>
      </w:r>
    </w:p>
    <w:p>
      <w:pPr>
        <w:pStyle w:val="Heading2"/>
        <w:bidi w:val="0"/>
        <w:ind w:hanging="0" w:left="0" w:right="0"/>
        <w:rPr/>
      </w:pPr>
      <w:bookmarkStart w:id="24" w:name="5-detektor-ve-degerlendirme-yontemi"/>
      <w:bookmarkEnd w:id="24"/>
      <w:r>
        <w:rPr/>
        <w:t>5. Detektör ve değerlendirme yöntemi</w:t>
      </w:r>
    </w:p>
    <w:p>
      <w:pPr>
        <w:pStyle w:val="BlockQuotation"/>
        <w:bidi w:val="0"/>
        <w:rPr/>
      </w:pPr>
      <w:r>
        <w:rPr>
          <w:rStyle w:val="Emphasis"/>
          <w:i/>
          <w:iCs/>
        </w:rPr>
        <w:t>(Yazılacak: model seçimi; konfigürasyon-grupli bölme nedir ve neden koşu-bazlı bölmeden daha sert bir sınavdır; iyimser bölmeyle farkı; hangi metriklerin neden raporlandığı.)</w:t>
      </w:r>
    </w:p>
    <w:p>
      <w:pPr>
        <w:pStyle w:val="Heading2"/>
        <w:bidi w:val="0"/>
        <w:ind w:hanging="0" w:left="0" w:right="0"/>
        <w:rPr/>
      </w:pPr>
      <w:bookmarkStart w:id="25" w:name="6-sonuclar"/>
      <w:bookmarkEnd w:id="25"/>
      <w:r>
        <w:rPr/>
        <w:t>6. Sonuçlar</w:t>
      </w:r>
    </w:p>
    <w:p>
      <w:pPr>
        <w:pStyle w:val="BlockQuotation"/>
        <w:bidi w:val="0"/>
        <w:rPr/>
      </w:pPr>
      <w:r>
        <w:rPr>
          <w:rStyle w:val="Emphasis"/>
          <w:i/>
          <w:iCs/>
        </w:rPr>
        <w:t>(Yazılacak: ikili tespit; çok-sınıflı sınıf bazında sonuçlar; karışıklık matrisi; tespit–şiddet eğrisi; eşik ayarı.)</w:t>
      </w:r>
    </w:p>
    <w:p>
      <w:pPr>
        <w:pStyle w:val="Heading2"/>
        <w:bidi w:val="0"/>
        <w:ind w:hanging="0" w:left="0" w:right="0"/>
        <w:rPr/>
      </w:pPr>
      <w:bookmarkStart w:id="26" w:name="7-yeni-saldr"/>
      <w:bookmarkEnd w:id="26"/>
      <w:r>
        <w:rPr/>
        <w:t>7. Yeni saldırı</w:t>
      </w:r>
    </w:p>
    <w:p>
      <w:pPr>
        <w:pStyle w:val="BlockQuotation"/>
        <w:bidi w:val="0"/>
        <w:rPr/>
      </w:pPr>
      <w:r>
        <w:rPr>
          <w:rStyle w:val="Emphasis"/>
          <w:i/>
          <w:iCs/>
        </w:rPr>
        <w:t>(Yazılacak: 7.1 grey-hole tasarımı, gerçeklenmesi ve doğrulanması; 7.2 timing-MITM ve akış seviyesi ölçümün yapısal körlüğü; 7.3 değerlendirilip reddedilen alternatifler.)</w:t>
      </w:r>
    </w:p>
    <w:p>
      <w:pPr>
        <w:pStyle w:val="Heading2"/>
        <w:bidi w:val="0"/>
        <w:ind w:hanging="0" w:left="0" w:right="0"/>
        <w:rPr/>
      </w:pPr>
      <w:bookmarkStart w:id="27" w:name="8-ne-olctugumuzu-sorgulamak"/>
      <w:bookmarkEnd w:id="27"/>
      <w:r>
        <w:rPr/>
        <w:t>8. Ne ölçtüğümüzü sorgulamak</w:t>
      </w:r>
    </w:p>
    <w:p>
      <w:pPr>
        <w:pStyle w:val="BlockQuotation"/>
        <w:bidi w:val="0"/>
        <w:rPr/>
      </w:pPr>
      <w:r>
        <w:rPr>
          <w:rStyle w:val="Emphasis"/>
          <w:i/>
          <w:iCs/>
        </w:rPr>
        <w:t>(Yazılacak: 8.1 zararsız relay tabanı ve R0 = 0.975; 8.2 dos/ddos ayrımının hasar eksenine indirgenmesi; 8.3 alan kayması probu; 8.4 üç bulgunun ortak açıklaması.)</w:t>
      </w:r>
    </w:p>
    <w:p>
      <w:pPr>
        <w:pStyle w:val="Heading2"/>
        <w:bidi w:val="0"/>
        <w:ind w:hanging="0" w:left="0" w:right="0"/>
        <w:rPr/>
      </w:pPr>
      <w:bookmarkStart w:id="28" w:name="9-snrllklar"/>
      <w:bookmarkEnd w:id="28"/>
      <w:r>
        <w:rPr/>
        <w:t>9. Sınırlılıklar</w:t>
      </w:r>
    </w:p>
    <w:p>
      <w:pPr>
        <w:pStyle w:val="BlockQuotation"/>
        <w:bidi w:val="0"/>
        <w:rPr/>
      </w:pPr>
      <w:r>
        <w:rPr>
          <w:rStyle w:val="Emphasis"/>
          <w:i/>
          <w:iCs/>
        </w:rPr>
        <w:t>(Yazılacak.)</w:t>
      </w:r>
    </w:p>
    <w:p>
      <w:pPr>
        <w:pStyle w:val="Heading2"/>
        <w:bidi w:val="0"/>
        <w:ind w:hanging="0" w:left="0" w:right="0"/>
        <w:rPr/>
      </w:pPr>
      <w:bookmarkStart w:id="29" w:name="10-yeniden-uretilebilirlik-ve-surum-yone"/>
      <w:bookmarkEnd w:id="29"/>
      <w:r>
        <w:rPr/>
        <w:t>10. Yeniden üretilebilirlik ve sürüm yönetimi</w:t>
      </w:r>
    </w:p>
    <w:p>
      <w:pPr>
        <w:pStyle w:val="BlockQuotation"/>
        <w:bidi w:val="0"/>
        <w:rPr/>
      </w:pPr>
      <w:r>
        <w:rPr>
          <w:rStyle w:val="Emphasis"/>
          <w:i/>
          <w:iCs/>
        </w:rPr>
        <w:t>(Yazılacak: v1.1 sürümü, manifest ve özet değerler; her rakamın tek kaynaktan üretilmesi; yayımlanan sürümün kendi iddialarını doğrulayan kapılar.)</w:t>
      </w:r>
    </w:p>
    <w:p>
      <w:pPr>
        <w:pStyle w:val="Heading2"/>
        <w:bidi w:val="0"/>
        <w:ind w:hanging="0" w:left="0" w:right="0"/>
        <w:rPr/>
      </w:pPr>
      <w:bookmarkStart w:id="30" w:name="11-sonuc-ve-gelecek-calsma"/>
      <w:bookmarkEnd w:id="30"/>
      <w:r>
        <w:rPr/>
        <w:t>11. Sonuç ve gelecek çalışma</w:t>
      </w:r>
    </w:p>
    <w:p>
      <w:pPr>
        <w:pStyle w:val="BlockQuotation"/>
        <w:bidi w:val="0"/>
        <w:rPr/>
      </w:pPr>
      <w:r>
        <w:rPr>
          <w:rStyle w:val="Emphasis"/>
          <w:i/>
          <w:iCs/>
        </w:rPr>
        <w:t>(Yazılacak.)</w:t>
      </w:r>
    </w:p>
    <w:p>
      <w:pPr>
        <w:pStyle w:val="HorizontalLine"/>
        <w:bidi w:val="0"/>
        <w:rPr/>
      </w:pPr>
      <w:r>
        <w:rPr/>
      </w:r>
    </w:p>
    <w:p>
      <w:pPr>
        <w:pStyle w:val="Heading2"/>
        <w:bidi w:val="0"/>
        <w:ind w:hanging="0" w:left="0" w:right="0"/>
        <w:rPr/>
      </w:pPr>
      <w:bookmarkStart w:id="31" w:name="ek-a-terimler-sozlugu"/>
      <w:bookmarkEnd w:id="31"/>
      <w:r>
        <w:rPr/>
        <w:t>Ek A — Terimler Sözlüğü</w:t>
      </w:r>
    </w:p>
    <w:p>
      <w:pPr>
        <w:pStyle w:val="BlockQuotation"/>
        <w:bidi w:val="0"/>
        <w:rPr/>
      </w:pPr>
      <w:r>
        <w:rPr>
          <w:rStyle w:val="Emphasis"/>
          <w:i/>
          <w:iCs/>
        </w:rPr>
        <w:t>(Yazılacak.)</w:t>
      </w:r>
    </w:p>
    <w:p>
      <w:pPr>
        <w:pStyle w:val="Heading2"/>
        <w:bidi w:val="0"/>
        <w:ind w:hanging="0" w:left="0" w:right="0"/>
        <w:rPr/>
      </w:pPr>
      <w:bookmarkStart w:id="32" w:name="kaynakca"/>
      <w:bookmarkEnd w:id="32"/>
      <w:r>
        <w:rPr/>
        <w:t>Kaynakça</w:t>
      </w:r>
    </w:p>
    <w:p>
      <w:pPr>
        <w:pStyle w:val="BodyText"/>
        <w:numPr>
          <w:ilvl w:val="0"/>
          <w:numId w:val="7"/>
        </w:numPr>
        <w:tabs>
          <w:tab w:val="clear" w:pos="1134"/>
          <w:tab w:val="left" w:pos="709" w:leader="none"/>
        </w:tabs>
        <w:bidi w:val="0"/>
        <w:spacing w:before="0" w:after="140"/>
        <w:ind w:hanging="283" w:left="709"/>
        <w:rPr/>
      </w:pPr>
      <w:r>
        <w:rPr>
          <w:rStyle w:val="SourceText"/>
        </w:rPr>
        <w:t>ramamr33/IoMT-NetworkAttackScenarios18</w:t>
      </w:r>
      <w:r>
        <w:rPr/>
        <w:t xml:space="preserve"> — IoMT ağlarında saldırı senaryoları (NS-3). Zenodo. DOI: </w:t>
      </w:r>
      <w:r>
        <w:rPr>
          <w:rStyle w:val="Strong"/>
        </w:rPr>
        <w:t>10.5281/zenodo.16747386</w:t>
      </w:r>
      <w:r>
        <w:rPr/>
        <w:t xml:space="preserve"> </w:t>
      </w:r>
    </w:p>
    <w:sectPr>
      <w:type w:val="nextPage"/>
      <w:pgSz w:w="11906" w:h="16838"/>
      <w:pgMar w:left="1247" w:right="1247" w:gutter="0" w:header="0" w:top="1417" w:footer="0" w:bottom="141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jc w:val="both"/>
    </w:pPr>
    <w:rPr>
      <w:rFonts w:ascii="Liberation Serif;serif" w:hAnsi="Liberation Serif;serif" w:eastAsia="Liberation Serif;serif" w:cs="Liberation Serif;serif"/>
      <w:color w:val="auto"/>
      <w:sz w:val="23"/>
      <w:szCs w:val="23"/>
      <w:lang w:val="en-US" w:eastAsia="zh-CN" w:bidi="hi-IN"/>
    </w:rPr>
  </w:style>
  <w:style w:type="paragraph" w:styleId="Heading1">
    <w:name w:val="heading 1"/>
    <w:basedOn w:val="Heading"/>
    <w:next w:val="BodyText"/>
    <w:qFormat/>
    <w:pPr>
      <w:spacing w:before="240" w:after="80"/>
    </w:pPr>
    <w:rPr>
      <w:rFonts w:ascii="Liberation Sans;sans-serif" w:hAnsi="Liberation Sans;sans-serif" w:eastAsia="Liberation Sans;sans-serif" w:cs="Liberation Sans;sans-serif"/>
      <w:b/>
      <w:bCs/>
      <w:sz w:val="40"/>
      <w:szCs w:val="40"/>
    </w:rPr>
  </w:style>
  <w:style w:type="paragraph" w:styleId="Heading2">
    <w:name w:val="heading 2"/>
    <w:basedOn w:val="Heading"/>
    <w:next w:val="BodyText"/>
    <w:qFormat/>
    <w:pPr>
      <w:pBdr>
        <w:bottom w:val="single" w:sz="2" w:space="2" w:color="999999"/>
      </w:pBdr>
      <w:spacing w:before="400" w:after="120"/>
      <w:ind w:left="400" w:right="400"/>
      <w:outlineLvl w:val="1"/>
    </w:pPr>
    <w:rPr>
      <w:rFonts w:ascii="Liberation Sans;sans-serif" w:hAnsi="Liberation Sans;sans-serif" w:eastAsia="Liberation Sans;sans-serif" w:cs="Liberation Sans;sans-serif"/>
      <w:b/>
      <w:bCs/>
      <w:sz w:val="30"/>
      <w:szCs w:val="30"/>
    </w:rPr>
  </w:style>
  <w:style w:type="paragraph" w:styleId="Heading3">
    <w:name w:val="heading 3"/>
    <w:basedOn w:val="Heading"/>
    <w:next w:val="BodyText"/>
    <w:qFormat/>
    <w:pPr>
      <w:spacing w:before="280" w:after="80"/>
      <w:ind w:left="280" w:right="280"/>
      <w:outlineLvl w:val="2"/>
    </w:pPr>
    <w:rPr>
      <w:rFonts w:ascii="Liberation Sans;sans-serif" w:hAnsi="Liberation Sans;sans-serif" w:eastAsia="Liberation Sans;sans-serif" w:cs="Liberation Sans;sans-serif"/>
      <w:b/>
      <w:bCs/>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4" w:space="6" w:color="CCCCCC"/>
        <w:left w:val="single" w:sz="4" w:space="6" w:color="CCCCCC"/>
        <w:bottom w:val="single" w:sz="4" w:space="6" w:color="CCCCCC"/>
        <w:right w:val="single" w:sz="4" w:space="6" w:color="CCCCCC"/>
      </w:pBdr>
      <w:shd w:fill="F4F4F4" w:val="clear"/>
      <w:spacing w:lineRule="auto" w:line="300" w:before="0" w:after="0"/>
    </w:pPr>
    <w:rPr>
      <w:rFonts w:ascii="Liberation Mono;monospace" w:hAnsi="Liberation Mono;monospace" w:eastAsia="Liberation Mono;monospace" w:cs="Liberation Mono;monospace"/>
      <w:sz w:val="18"/>
      <w:szCs w:val="18"/>
    </w:rPr>
  </w:style>
  <w:style w:type="paragraph" w:styleId="BlockQuotation">
    <w:name w:val="Block Quotation"/>
    <w:basedOn w:val="Normal"/>
    <w:qFormat/>
    <w:pPr>
      <w:pBdr>
        <w:left w:val="single" w:sz="16" w:space="10" w:color="BBBBBB"/>
      </w:pBdr>
      <w:spacing w:before="120" w:after="120"/>
      <w:ind w:hanging="0" w:left="240" w:right="120"/>
    </w:pPr>
    <w:rPr>
      <w:i/>
      <w:iCs/>
      <w:color w:val="333333"/>
    </w:rPr>
  </w:style>
  <w:style w:type="paragraph" w:styleId="TableHeading">
    <w:name w:val="Table Heading"/>
    <w:basedOn w:val="TableContents"/>
    <w:qFormat/>
    <w:pPr>
      <w:suppressLineNumbers/>
      <w:shd w:fill="ECECEC"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