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MANUEL UTILISATEUR — TECHVISION</w:t>
      </w:r>
    </w:p>
    <w:p>
      <w:pPr>
        <w:jc w:val="center"/>
      </w:pPr>
      <w:r>
        <w:rPr>
          <w:color w:val="666666"/>
        </w:rPr>
        <w:t>Version 4.2 — Mars 2026</w:t>
      </w:r>
    </w:p>
    <w:p/>
    <w:p>
      <w:r>
        <w:rPr>
          <w:sz w:val="18"/>
        </w:rPr>
        <w:t>MANUEL UTILISATEUR — TECHVISION PLATEFORME</w:t>
      </w:r>
    </w:p>
    <w:p>
      <w:r>
        <w:rPr>
          <w:sz w:val="18"/>
        </w:rPr>
        <w:t>Version 4.2 — Mars 2026</w:t>
      </w:r>
    </w:p>
    <w:p>
      <w:r>
        <w:rPr>
          <w:sz w:val="18"/>
        </w:rPr>
        <w:t>Document destiné aux utilisateurs finaux et administrateurs</w:t>
      </w:r>
    </w:p>
    <w:p/>
    <w:p>
      <w:pPr>
        <w:pStyle w:val="Heading1"/>
      </w:pPr>
      <w:r>
        <w:rPr>
          <w:color w:val="1F4E79"/>
        </w:rPr>
        <w:t>CHAPITRE 1 — PRISE EN MAIN</w:t>
      </w:r>
    </w:p>
    <w:p/>
    <w:p>
      <w:pPr>
        <w:pStyle w:val="Heading2"/>
      </w:pPr>
      <w:r>
        <w:rPr>
          <w:color w:val="2E75B6"/>
        </w:rPr>
        <w:t>1.1 Première connexion</w:t>
      </w:r>
    </w:p>
    <w:p>
      <w:r>
        <w:rPr>
          <w:sz w:val="18"/>
        </w:rPr>
        <w:t>Après réception de votre email d'invitation, suivez ces étapes :</w:t>
      </w:r>
    </w:p>
    <w:p/>
    <w:p>
      <w:pPr>
        <w:pStyle w:val="Heading2"/>
      </w:pPr>
      <w:r>
        <w:rPr>
          <w:color w:val="2E75B6"/>
        </w:rPr>
        <w:t>1. Cliquez sur le lien d'activation dans l'email (valable 48 heures)</w:t>
      </w:r>
    </w:p>
    <w:p>
      <w:pPr>
        <w:pStyle w:val="Heading2"/>
      </w:pPr>
      <w:r>
        <w:rPr>
          <w:color w:val="2E75B6"/>
        </w:rPr>
        <w:t>2. Définissez votre mot de passe :</w:t>
      </w:r>
    </w:p>
    <w:p>
      <w:pPr>
        <w:pStyle w:val="ListBullet"/>
      </w:pPr>
      <w:r>
        <w:rPr>
          <w:sz w:val="18"/>
        </w:rPr>
        <w:t>Minimum 10 caractères</w:t>
      </w:r>
    </w:p>
    <w:p>
      <w:pPr>
        <w:pStyle w:val="ListBullet"/>
      </w:pPr>
      <w:r>
        <w:rPr>
          <w:sz w:val="18"/>
        </w:rPr>
        <w:t>Au moins 1 majuscule, 1 chiffre, 1 caractère spécial</w:t>
      </w:r>
    </w:p>
    <w:p>
      <w:pPr>
        <w:pStyle w:val="ListBullet"/>
      </w:pPr>
      <w:r>
        <w:rPr>
          <w:sz w:val="18"/>
        </w:rPr>
        <w:t>Ne pas réutiliser les 5 derniers mots de passe</w:t>
      </w:r>
    </w:p>
    <w:p>
      <w:pPr>
        <w:pStyle w:val="Heading2"/>
      </w:pPr>
      <w:r>
        <w:rPr>
          <w:color w:val="2E75B6"/>
        </w:rPr>
        <w:t>3. Configurez votre profil (nom, photo, fuseau horaire)</w:t>
      </w:r>
    </w:p>
    <w:p>
      <w:pPr>
        <w:pStyle w:val="Heading2"/>
      </w:pPr>
      <w:r>
        <w:rPr>
          <w:color w:val="2E75B6"/>
        </w:rPr>
        <w:t>4. Activez l'authentification à deux facteurs (recommandé)</w:t>
      </w:r>
    </w:p>
    <w:p/>
    <w:p>
      <w:r>
        <w:rPr>
          <w:sz w:val="18"/>
        </w:rPr>
        <w:t>Navigateurs compatibles :</w:t>
      </w:r>
    </w:p>
    <w:p>
      <w:pPr>
        <w:pStyle w:val="ListBullet"/>
      </w:pPr>
      <w:r>
        <w:rPr>
          <w:sz w:val="18"/>
        </w:rPr>
        <w:t>Google Chrome version 110 ou supérieure</w:t>
      </w:r>
    </w:p>
    <w:p>
      <w:pPr>
        <w:pStyle w:val="ListBullet"/>
      </w:pPr>
      <w:r>
        <w:rPr>
          <w:sz w:val="18"/>
        </w:rPr>
        <w:t>Mozilla Firefox version 115 ou supérieure</w:t>
      </w:r>
    </w:p>
    <w:p>
      <w:pPr>
        <w:pStyle w:val="ListBullet"/>
      </w:pPr>
      <w:r>
        <w:rPr>
          <w:sz w:val="18"/>
        </w:rPr>
        <w:t>Microsoft Edge version 110 ou supérieure</w:t>
      </w:r>
    </w:p>
    <w:p>
      <w:pPr>
        <w:pStyle w:val="ListBullet"/>
      </w:pPr>
      <w:r>
        <w:rPr>
          <w:sz w:val="18"/>
        </w:rPr>
        <w:t>Safari version 16 ou supérieure (Mac uniquement)</w:t>
      </w:r>
    </w:p>
    <w:p/>
    <w:p>
      <w:pPr>
        <w:pStyle w:val="Heading2"/>
      </w:pPr>
      <w:r>
        <w:rPr>
          <w:color w:val="2E75B6"/>
        </w:rPr>
        <w:t>1.2 Interface principale</w:t>
      </w:r>
    </w:p>
    <w:p>
      <w:r>
        <w:rPr>
          <w:sz w:val="18"/>
        </w:rPr>
        <w:t>L'interface TechVision est organisée en 4 zones principales :</w:t>
      </w:r>
    </w:p>
    <w:p/>
    <w:p>
      <w:r>
        <w:rPr>
          <w:sz w:val="18"/>
        </w:rPr>
        <w:t>Zone 1 — Barre de navigation (gauche)</w:t>
      </w:r>
    </w:p>
    <w:p>
      <w:r>
        <w:rPr>
          <w:sz w:val="18"/>
        </w:rPr>
        <w:t>Accès rapide à tous les modules : Tableau de bord, Projets,</w:t>
      </w:r>
    </w:p>
    <w:p>
      <w:r>
        <w:rPr>
          <w:sz w:val="18"/>
        </w:rPr>
        <w:t>Documents, Rapports, Intégrations, Paramètres.</w:t>
      </w:r>
    </w:p>
    <w:p/>
    <w:p>
      <w:r>
        <w:rPr>
          <w:sz w:val="18"/>
        </w:rPr>
        <w:t>Zone 2 — En-tête (haut)</w:t>
      </w:r>
    </w:p>
    <w:p>
      <w:r>
        <w:rPr>
          <w:sz w:val="18"/>
        </w:rPr>
        <w:t>Barre de recherche globale, notifications, profil utilisateur,</w:t>
      </w:r>
    </w:p>
    <w:p>
      <w:r>
        <w:rPr>
          <w:sz w:val="18"/>
        </w:rPr>
        <w:t>accès à l'aide contextuelle.</w:t>
      </w:r>
    </w:p>
    <w:p/>
    <w:p>
      <w:r>
        <w:rPr>
          <w:sz w:val="18"/>
        </w:rPr>
        <w:t>Zone 3 — Zone de travail (centre)</w:t>
      </w:r>
    </w:p>
    <w:p>
      <w:r>
        <w:rPr>
          <w:sz w:val="18"/>
        </w:rPr>
        <w:t>Affichage du contenu de la section sélectionnée.</w:t>
      </w:r>
    </w:p>
    <w:p/>
    <w:p>
      <w:r>
        <w:rPr>
          <w:sz w:val="18"/>
        </w:rPr>
        <w:t>Zone 4 — Panneau latéral (droite)</w:t>
      </w:r>
    </w:p>
    <w:p>
      <w:r>
        <w:rPr>
          <w:sz w:val="18"/>
        </w:rPr>
        <w:t>Informations contextuelles, filtres, actions rapides.</w:t>
      </w:r>
    </w:p>
    <w:p/>
    <w:p>
      <w:pPr>
        <w:pStyle w:val="Heading2"/>
      </w:pPr>
      <w:r>
        <w:rPr>
          <w:color w:val="2E75B6"/>
        </w:rPr>
        <w:t>1.3 Raccourcis clavier</w:t>
      </w:r>
    </w:p>
    <w:p>
      <w:r>
        <w:rPr>
          <w:sz w:val="18"/>
        </w:rPr>
        <w:t>Ctrl + K : Ouvrir la recherche globale</w:t>
      </w:r>
    </w:p>
    <w:p>
      <w:r>
        <w:rPr>
          <w:sz w:val="18"/>
        </w:rPr>
        <w:t>Ctrl + N : Créer un nouvel élément</w:t>
      </w:r>
    </w:p>
    <w:p>
      <w:r>
        <w:rPr>
          <w:sz w:val="18"/>
        </w:rPr>
        <w:t>Ctrl + S : Sauvegarder</w:t>
      </w:r>
    </w:p>
    <w:p>
      <w:r>
        <w:rPr>
          <w:sz w:val="18"/>
        </w:rPr>
        <w:t>Ctrl + Z : Annuler la dernière action</w:t>
      </w:r>
    </w:p>
    <w:p>
      <w:r>
        <w:rPr>
          <w:sz w:val="18"/>
        </w:rPr>
        <w:t>Ctrl + / : Afficher tous les raccourcis</w:t>
      </w:r>
    </w:p>
    <w:p>
      <w:r>
        <w:rPr>
          <w:sz w:val="18"/>
        </w:rPr>
        <w:t>F1 : Aide contextuelle</w:t>
      </w:r>
    </w:p>
    <w:p/>
    <w:p>
      <w:pPr>
        <w:pStyle w:val="Heading1"/>
      </w:pPr>
      <w:r>
        <w:rPr>
          <w:color w:val="1F4E79"/>
        </w:rPr>
        <w:t>CHAPITRE 2 — GESTION DES DOCUMENTS</w:t>
      </w:r>
    </w:p>
    <w:p/>
    <w:p>
      <w:pPr>
        <w:pStyle w:val="Heading2"/>
      </w:pPr>
      <w:r>
        <w:rPr>
          <w:color w:val="2E75B6"/>
        </w:rPr>
        <w:t>2.1 Importer des documents</w:t>
      </w:r>
    </w:p>
    <w:p>
      <w:r>
        <w:rPr>
          <w:sz w:val="18"/>
        </w:rPr>
        <w:t>Méthode 1 — Glisser-déposer</w:t>
      </w:r>
    </w:p>
    <w:p>
      <w:r>
        <w:rPr>
          <w:sz w:val="18"/>
        </w:rPr>
        <w:t>Faites glisser vos fichiers directement dans la zone de dépôt</w:t>
      </w:r>
    </w:p>
    <w:p>
      <w:r>
        <w:rPr>
          <w:sz w:val="18"/>
        </w:rPr>
        <w:t>centrale ou dans un dossier spécifique.</w:t>
      </w:r>
    </w:p>
    <w:p/>
    <w:p>
      <w:r>
        <w:rPr>
          <w:sz w:val="18"/>
        </w:rPr>
        <w:t>Méthode 2 — Bouton d'import</w:t>
      </w:r>
    </w:p>
    <w:p>
      <w:r>
        <w:rPr>
          <w:sz w:val="18"/>
        </w:rPr>
        <w:t>Documents → "+ Nouveau document" → "Importer depuis l'ordinateur"</w:t>
      </w:r>
    </w:p>
    <w:p/>
    <w:p>
      <w:r>
        <w:rPr>
          <w:sz w:val="18"/>
        </w:rPr>
        <w:t>Méthode 3 — Import depuis le cloud</w:t>
      </w:r>
    </w:p>
    <w:p>
      <w:r>
        <w:rPr>
          <w:sz w:val="18"/>
        </w:rPr>
        <w:t>Documents → "+ Nouveau document" → Choisir la source :</w:t>
      </w:r>
    </w:p>
    <w:p>
      <w:pPr>
        <w:pStyle w:val="ListBullet"/>
      </w:pPr>
      <w:r>
        <w:rPr>
          <w:sz w:val="18"/>
        </w:rPr>
        <w:t>Google Drive</w:t>
      </w:r>
    </w:p>
    <w:p>
      <w:pPr>
        <w:pStyle w:val="ListBullet"/>
      </w:pPr>
      <w:r>
        <w:rPr>
          <w:sz w:val="18"/>
        </w:rPr>
        <w:t>OneDrive</w:t>
      </w:r>
    </w:p>
    <w:p>
      <w:pPr>
        <w:pStyle w:val="ListBullet"/>
      </w:pPr>
      <w:r>
        <w:rPr>
          <w:sz w:val="18"/>
        </w:rPr>
        <w:t>Dropbox</w:t>
      </w:r>
    </w:p>
    <w:p>
      <w:pPr>
        <w:pStyle w:val="ListBullet"/>
      </w:pPr>
      <w:r>
        <w:rPr>
          <w:sz w:val="18"/>
        </w:rPr>
        <w:t>SharePoint</w:t>
      </w:r>
    </w:p>
    <w:p/>
    <w:p>
      <w:r>
        <w:rPr>
          <w:sz w:val="18"/>
        </w:rPr>
        <w:t>Formats supportés : PDF, DOCX, XLSX, CSV, PNG, JPG, MP4, ZIP</w:t>
      </w:r>
    </w:p>
    <w:p>
      <w:r>
        <w:rPr>
          <w:sz w:val="18"/>
        </w:rPr>
        <w:t>Limites par plan :</w:t>
      </w:r>
    </w:p>
    <w:p>
      <w:pPr>
        <w:pStyle w:val="ListBullet"/>
      </w:pPr>
      <w:r>
        <w:rPr>
          <w:sz w:val="18"/>
        </w:rPr>
        <w:t>Starter : 20 Mo par fichier, 10 Go total</w:t>
      </w:r>
    </w:p>
    <w:p>
      <w:pPr>
        <w:pStyle w:val="ListBullet"/>
      </w:pPr>
      <w:r>
        <w:rPr>
          <w:sz w:val="18"/>
        </w:rPr>
        <w:t>Pro : 50 Mo par fichier, 100 Go total</w:t>
      </w:r>
    </w:p>
    <w:p>
      <w:pPr>
        <w:pStyle w:val="ListBullet"/>
      </w:pPr>
      <w:r>
        <w:rPr>
          <w:sz w:val="18"/>
        </w:rPr>
        <w:t>Business : 500 Mo par fichier, 1 To total</w:t>
      </w:r>
    </w:p>
    <w:p>
      <w:pPr>
        <w:pStyle w:val="ListBullet"/>
      </w:pPr>
      <w:r>
        <w:rPr>
          <w:sz w:val="18"/>
        </w:rPr>
        <w:t>Enterprise : 2 Go par fichier, stockage illimité</w:t>
      </w:r>
    </w:p>
    <w:p/>
    <w:p>
      <w:pPr>
        <w:pStyle w:val="Heading2"/>
      </w:pPr>
      <w:r>
        <w:rPr>
          <w:color w:val="2E75B6"/>
        </w:rPr>
        <w:t>2.2 Organiser vos documents</w:t>
      </w:r>
    </w:p>
    <w:p>
      <w:r>
        <w:rPr>
          <w:sz w:val="18"/>
        </w:rPr>
        <w:t>Création de dossiers :</w:t>
      </w:r>
    </w:p>
    <w:p>
      <w:r>
        <w:rPr>
          <w:sz w:val="18"/>
        </w:rPr>
        <w:t>Documents → Clic droit → "Nouveau dossier" → Nommer le dossier</w:t>
      </w:r>
    </w:p>
    <w:p/>
    <w:p>
      <w:r>
        <w:rPr>
          <w:sz w:val="18"/>
        </w:rPr>
        <w:t>Déplacer des documents :</w:t>
      </w:r>
    </w:p>
    <w:p>
      <w:r>
        <w:rPr>
          <w:sz w:val="18"/>
        </w:rPr>
        <w:t>Sélectionner le document → Glisser vers le dossier cible</w:t>
      </w:r>
    </w:p>
    <w:p>
      <w:r>
        <w:rPr>
          <w:sz w:val="18"/>
        </w:rPr>
        <w:t>Ou : Clic droit → "Déplacer vers" → Choisir la destination</w:t>
      </w:r>
    </w:p>
    <w:p/>
    <w:p>
      <w:r>
        <w:rPr>
          <w:sz w:val="18"/>
        </w:rPr>
        <w:t>Étiquettes et tags :</w:t>
      </w:r>
    </w:p>
    <w:p>
      <w:r>
        <w:rPr>
          <w:sz w:val="18"/>
        </w:rPr>
        <w:t>Chaque document peut recevoir jusqu'à 10 étiquettes personnalisées.</w:t>
      </w:r>
    </w:p>
    <w:p>
      <w:r>
        <w:rPr>
          <w:sz w:val="18"/>
        </w:rPr>
        <w:t>Utile pour filtrer et retrouver rapidement vos fichiers.</w:t>
      </w:r>
    </w:p>
    <w:p/>
    <w:p>
      <w:pPr>
        <w:pStyle w:val="Heading2"/>
      </w:pPr>
      <w:r>
        <w:rPr>
          <w:color w:val="2E75B6"/>
        </w:rPr>
        <w:t>2.3 Partager des documents</w:t>
      </w:r>
    </w:p>
    <w:p>
      <w:r>
        <w:rPr>
          <w:sz w:val="18"/>
        </w:rPr>
        <w:t>Partage interne (avec des collègues) :</w:t>
      </w:r>
    </w:p>
    <w:p>
      <w:pPr>
        <w:pStyle w:val="Heading2"/>
      </w:pPr>
      <w:r>
        <w:rPr>
          <w:color w:val="2E75B6"/>
        </w:rPr>
        <w:t>1. Cliquer sur le document → "Partager"</w:t>
      </w:r>
    </w:p>
    <w:p>
      <w:pPr>
        <w:pStyle w:val="Heading2"/>
      </w:pPr>
      <w:r>
        <w:rPr>
          <w:color w:val="2E75B6"/>
        </w:rPr>
        <w:t>2. Saisir le nom ou email du collègue</w:t>
      </w:r>
    </w:p>
    <w:p>
      <w:pPr>
        <w:pStyle w:val="Heading2"/>
      </w:pPr>
      <w:r>
        <w:rPr>
          <w:color w:val="2E75B6"/>
        </w:rPr>
        <w:t>3. Choisir le niveau d'accès : Lecture, Commentaire, Édition</w:t>
      </w:r>
    </w:p>
    <w:p>
      <w:pPr>
        <w:pStyle w:val="Heading2"/>
      </w:pPr>
      <w:r>
        <w:rPr>
          <w:color w:val="2E75B6"/>
        </w:rPr>
        <w:t>4. Définir une date d'expiration si nécessaire</w:t>
      </w:r>
    </w:p>
    <w:p>
      <w:pPr>
        <w:pStyle w:val="Heading2"/>
      </w:pPr>
      <w:r>
        <w:rPr>
          <w:color w:val="2E75B6"/>
        </w:rPr>
        <w:t>5. Cliquer sur "Envoyer l'invitation"</w:t>
      </w:r>
    </w:p>
    <w:p/>
    <w:p>
      <w:r>
        <w:rPr>
          <w:sz w:val="18"/>
        </w:rPr>
        <w:t>Partage externe (avec des personnes hors de l'organisation) :</w:t>
      </w:r>
    </w:p>
    <w:p>
      <w:r>
        <w:rPr>
          <w:sz w:val="18"/>
        </w:rPr>
        <w:t>Disponible uniquement sur les plans Pro, Business et Enterprise.</w:t>
      </w:r>
    </w:p>
    <w:p>
      <w:pPr>
        <w:pStyle w:val="Heading2"/>
      </w:pPr>
      <w:r>
        <w:rPr>
          <w:color w:val="2E75B6"/>
        </w:rPr>
        <w:t>1. Cliquer sur le document → "Partager" → "Lien public"</w:t>
      </w:r>
    </w:p>
    <w:p>
      <w:pPr>
        <w:pStyle w:val="Heading2"/>
      </w:pPr>
      <w:r>
        <w:rPr>
          <w:color w:val="2E75B6"/>
        </w:rPr>
        <w:t>2. Configurer les options : lecture seule, protection par mot de passe</w:t>
      </w:r>
    </w:p>
    <w:p>
      <w:pPr>
        <w:pStyle w:val="Heading2"/>
      </w:pPr>
      <w:r>
        <w:rPr>
          <w:color w:val="2E75B6"/>
        </w:rPr>
        <w:t>3. Définir une date d'expiration (obligatoire pour la sécurité)</w:t>
      </w:r>
    </w:p>
    <w:p>
      <w:pPr>
        <w:pStyle w:val="Heading2"/>
      </w:pPr>
      <w:r>
        <w:rPr>
          <w:color w:val="2E75B6"/>
        </w:rPr>
        <w:t>4. Copier et partager le lien généré</w:t>
      </w:r>
    </w:p>
    <w:p/>
    <w:p>
      <w:pPr>
        <w:pStyle w:val="Heading2"/>
      </w:pPr>
      <w:r>
        <w:rPr>
          <w:color w:val="2E75B6"/>
        </w:rPr>
        <w:t>2.4 Exporter vos données</w:t>
      </w:r>
    </w:p>
    <w:p>
      <w:r>
        <w:rPr>
          <w:sz w:val="18"/>
        </w:rPr>
        <w:t>Export d'un document unique :</w:t>
      </w:r>
    </w:p>
    <w:p>
      <w:r>
        <w:rPr>
          <w:sz w:val="18"/>
        </w:rPr>
        <w:t>Document → "..." → "Exporter" → Choisir le format</w:t>
      </w:r>
    </w:p>
    <w:p/>
    <w:p>
      <w:r>
        <w:rPr>
          <w:sz w:val="18"/>
        </w:rPr>
        <w:t>Export de toutes vos données :</w:t>
      </w:r>
    </w:p>
    <w:p>
      <w:r>
        <w:rPr>
          <w:sz w:val="18"/>
        </w:rPr>
        <w:t>Paramètres → Mon compte → onglet "Données" → "Exporter mes données"</w:t>
      </w:r>
    </w:p>
    <w:p>
      <w:r>
        <w:rPr>
          <w:sz w:val="18"/>
        </w:rPr>
        <w:t>Formats disponibles : CSV, JSON, PDF</w:t>
      </w:r>
    </w:p>
    <w:p>
      <w:r>
        <w:rPr>
          <w:sz w:val="18"/>
        </w:rPr>
        <w:t>Délai de génération : 5 à 30 minutes selon le volume</w:t>
      </w:r>
    </w:p>
    <w:p>
      <w:r>
        <w:rPr>
          <w:sz w:val="18"/>
        </w:rPr>
        <w:t>Lien de téléchargement valable 48 heures</w:t>
      </w:r>
    </w:p>
    <w:p/>
    <w:p>
      <w:pPr>
        <w:pStyle w:val="Heading1"/>
      </w:pPr>
      <w:r>
        <w:rPr>
          <w:color w:val="1F4E79"/>
        </w:rPr>
        <w:t>CHAPITRE 3 — GESTION DES UTILISATEURS (ADMINISTRATEURS)</w:t>
      </w:r>
    </w:p>
    <w:p/>
    <w:p>
      <w:pPr>
        <w:pStyle w:val="Heading2"/>
      </w:pPr>
      <w:r>
        <w:rPr>
          <w:color w:val="2E75B6"/>
        </w:rPr>
        <w:t>3.1 Inviter des utilisateurs</w:t>
      </w:r>
    </w:p>
    <w:p>
      <w:pPr>
        <w:pStyle w:val="Heading2"/>
      </w:pPr>
      <w:r>
        <w:rPr>
          <w:color w:val="2E75B6"/>
        </w:rPr>
        <w:t>1. Admin → Utilisateurs → "+ Inviter des utilisateurs"</w:t>
      </w:r>
    </w:p>
    <w:p>
      <w:pPr>
        <w:pStyle w:val="Heading2"/>
      </w:pPr>
      <w:r>
        <w:rPr>
          <w:color w:val="2E75B6"/>
        </w:rPr>
        <w:t>2. Saisir les adresses email (une par ligne ou séparées par virgules)</w:t>
      </w:r>
    </w:p>
    <w:p>
      <w:pPr>
        <w:pStyle w:val="Heading2"/>
      </w:pPr>
      <w:r>
        <w:rPr>
          <w:color w:val="2E75B6"/>
        </w:rPr>
        <w:t>3. Choisir le rôle : Lecteur, Membre, Administrateur</w:t>
      </w:r>
    </w:p>
    <w:p>
      <w:pPr>
        <w:pStyle w:val="Heading2"/>
      </w:pPr>
      <w:r>
        <w:rPr>
          <w:color w:val="2E75B6"/>
        </w:rPr>
        <w:t>4. Personnaliser le message d'invitation (optionnel)</w:t>
      </w:r>
    </w:p>
    <w:p>
      <w:pPr>
        <w:pStyle w:val="Heading2"/>
      </w:pPr>
      <w:r>
        <w:rPr>
          <w:color w:val="2E75B6"/>
        </w:rPr>
        <w:t>5. Cliquer sur "Envoyer les invitations"</w:t>
      </w:r>
    </w:p>
    <w:p/>
    <w:p>
      <w:r>
        <w:rPr>
          <w:sz w:val="18"/>
        </w:rPr>
        <w:t>Rôles disponibles :</w:t>
      </w:r>
    </w:p>
    <w:p>
      <w:pPr>
        <w:pStyle w:val="ListBullet"/>
      </w:pPr>
      <w:r>
        <w:rPr>
          <w:sz w:val="18"/>
        </w:rPr>
        <w:t>Lecteur : consultation uniquement, pas de modification</w:t>
      </w:r>
    </w:p>
    <w:p>
      <w:pPr>
        <w:pStyle w:val="ListBullet"/>
      </w:pPr>
      <w:r>
        <w:rPr>
          <w:sz w:val="18"/>
        </w:rPr>
        <w:t>Membre : création et modification de ses propres contenus</w:t>
      </w:r>
    </w:p>
    <w:p>
      <w:pPr>
        <w:pStyle w:val="ListBullet"/>
      </w:pPr>
      <w:r>
        <w:rPr>
          <w:sz w:val="18"/>
        </w:rPr>
        <w:t>Gestionnaire : gestion des contenus de son équipe</w:t>
      </w:r>
    </w:p>
    <w:p>
      <w:pPr>
        <w:pStyle w:val="ListBullet"/>
      </w:pPr>
      <w:r>
        <w:rPr>
          <w:sz w:val="18"/>
        </w:rPr>
        <w:t>Administrateur : accès complet incluant facturation et sécurité</w:t>
      </w:r>
    </w:p>
    <w:p/>
    <w:p>
      <w:pPr>
        <w:pStyle w:val="Heading2"/>
      </w:pPr>
      <w:r>
        <w:rPr>
          <w:color w:val="2E75B6"/>
        </w:rPr>
        <w:t>3.2 Gérer les permissions</w:t>
      </w:r>
    </w:p>
    <w:p>
      <w:r>
        <w:rPr>
          <w:sz w:val="18"/>
        </w:rPr>
        <w:t>Admin → Utilisateurs → Sélectionner un utilisateur → "Modifier"</w:t>
      </w:r>
    </w:p>
    <w:p/>
    <w:p>
      <w:r>
        <w:rPr>
          <w:sz w:val="18"/>
        </w:rPr>
        <w:t>Champs modifiables :</w:t>
      </w:r>
    </w:p>
    <w:p>
      <w:pPr>
        <w:pStyle w:val="ListBullet"/>
      </w:pPr>
      <w:r>
        <w:rPr>
          <w:sz w:val="18"/>
        </w:rPr>
        <w:t>Rôle et niveau d'accès</w:t>
      </w:r>
    </w:p>
    <w:p>
      <w:pPr>
        <w:pStyle w:val="ListBullet"/>
      </w:pPr>
      <w:r>
        <w:rPr>
          <w:sz w:val="18"/>
        </w:rPr>
        <w:t>Appartenance aux équipes</w:t>
      </w:r>
    </w:p>
    <w:p>
      <w:pPr>
        <w:pStyle w:val="ListBullet"/>
      </w:pPr>
      <w:r>
        <w:rPr>
          <w:sz w:val="18"/>
        </w:rPr>
        <w:t>Restrictions d'accès par projet</w:t>
      </w:r>
    </w:p>
    <w:p>
      <w:pPr>
        <w:pStyle w:val="ListBullet"/>
      </w:pPr>
      <w:r>
        <w:rPr>
          <w:sz w:val="18"/>
        </w:rPr>
        <w:t>Limites de stockage individuelles</w:t>
      </w:r>
    </w:p>
    <w:p/>
    <w:p>
      <w:pPr>
        <w:pStyle w:val="Heading2"/>
      </w:pPr>
      <w:r>
        <w:rPr>
          <w:color w:val="2E75B6"/>
        </w:rPr>
        <w:t>3.3 Désactiver un compte</w:t>
      </w:r>
    </w:p>
    <w:p>
      <w:r>
        <w:rPr>
          <w:sz w:val="18"/>
        </w:rPr>
        <w:t>Admin → Utilisateurs → Sélectionner l'utilisateur → "Désactiver"</w:t>
      </w:r>
    </w:p>
    <w:p/>
    <w:p>
      <w:r>
        <w:rPr>
          <w:sz w:val="18"/>
        </w:rPr>
        <w:t>Important : la désactivation ne supprime pas les données de l'utilisateur.</w:t>
      </w:r>
    </w:p>
    <w:p>
      <w:r>
        <w:rPr>
          <w:sz w:val="18"/>
        </w:rPr>
        <w:t>Le compte peut être réactivé à tout moment.</w:t>
      </w:r>
    </w:p>
    <w:p/>
    <w:p>
      <w:r>
        <w:rPr>
          <w:sz w:val="18"/>
        </w:rPr>
        <w:t>Pour supprimer définitivement un compte et ses données :</w:t>
      </w:r>
    </w:p>
    <w:p>
      <w:r>
        <w:rPr>
          <w:sz w:val="18"/>
        </w:rPr>
        <w:t>Désactiver d'abord → Attendre 30 jours → "Supprimer définitivement"</w:t>
      </w:r>
    </w:p>
    <w:p>
      <w:r>
        <w:rPr>
          <w:sz w:val="18"/>
        </w:rPr>
        <w:t>Cette action est irréversible.</w:t>
      </w:r>
    </w:p>
    <w:p/>
    <w:p>
      <w:pPr>
        <w:pStyle w:val="Heading2"/>
      </w:pPr>
      <w:r>
        <w:rPr>
          <w:color w:val="2E75B6"/>
        </w:rPr>
        <w:t>3.4 Authentification à deux facteurs (2FA)</w:t>
      </w:r>
    </w:p>
    <w:p>
      <w:r>
        <w:rPr>
          <w:sz w:val="18"/>
        </w:rPr>
        <w:t>Configuration individuelle (tous les plans) :</w:t>
      </w:r>
    </w:p>
    <w:p>
      <w:r>
        <w:rPr>
          <w:sz w:val="18"/>
        </w:rPr>
        <w:t>Profil → Sécurité → "Activer le 2FA" → Choisir la méthode</w:t>
      </w:r>
    </w:p>
    <w:p/>
    <w:p>
      <w:r>
        <w:rPr>
          <w:sz w:val="18"/>
        </w:rPr>
        <w:t>Configuration obligatoire pour toute l'organisation (Business+) :</w:t>
      </w:r>
    </w:p>
    <w:p>
      <w:r>
        <w:rPr>
          <w:sz w:val="18"/>
        </w:rPr>
        <w:t>Admin → Organisation → Sécurité → "2FA obligatoire" → Activer</w:t>
      </w:r>
    </w:p>
    <w:p>
      <w:r>
        <w:rPr>
          <w:sz w:val="18"/>
        </w:rPr>
        <w:t>Les utilisateurs disposent de 7 jours pour configurer leur 2FA.</w:t>
      </w:r>
    </w:p>
    <w:p>
      <w:r>
        <w:rPr>
          <w:sz w:val="18"/>
        </w:rPr>
        <w:t>Passé ce délai, ils seront bloqués jusqu'à configuration.</w:t>
      </w:r>
    </w:p>
    <w:p/>
    <w:p>
      <w:r>
        <w:rPr>
          <w:sz w:val="18"/>
        </w:rPr>
        <w:t>Méthodes disponibles :</w:t>
      </w:r>
    </w:p>
    <w:p>
      <w:pPr>
        <w:pStyle w:val="Heading2"/>
      </w:pPr>
      <w:r>
        <w:rPr>
          <w:color w:val="2E75B6"/>
        </w:rPr>
        <w:t>1. Application TOTP (Google Authenticator, Authy) — recommandé</w:t>
      </w:r>
    </w:p>
    <w:p>
      <w:pPr>
        <w:pStyle w:val="Heading2"/>
      </w:pPr>
      <w:r>
        <w:rPr>
          <w:color w:val="2E75B6"/>
        </w:rPr>
        <w:t>2. SMS (surcharge possible selon l'opérateur)</w:t>
      </w:r>
    </w:p>
    <w:p>
      <w:pPr>
        <w:pStyle w:val="Heading2"/>
      </w:pPr>
      <w:r>
        <w:rPr>
          <w:color w:val="2E75B6"/>
        </w:rPr>
        <w:t>3. Email de vérification</w:t>
      </w:r>
    </w:p>
    <w:p/>
    <w:p>
      <w:pPr>
        <w:pStyle w:val="Heading2"/>
      </w:pPr>
      <w:r>
        <w:rPr>
          <w:color w:val="2E75B6"/>
        </w:rPr>
        <w:t>3.5 Single Sign-On (SSO)</w:t>
      </w:r>
    </w:p>
    <w:p>
      <w:r>
        <w:rPr>
          <w:sz w:val="18"/>
        </w:rPr>
        <w:t>Disponible sur les plans Business et Enterprise uniquement.</w:t>
      </w:r>
    </w:p>
    <w:p>
      <w:r>
        <w:rPr>
          <w:sz w:val="18"/>
        </w:rPr>
        <w:t>Protocoles supportés : SAML 2.0, OAuth 2.0, OpenID Connect</w:t>
      </w:r>
    </w:p>
    <w:p/>
    <w:p>
      <w:r>
        <w:rPr>
          <w:sz w:val="18"/>
        </w:rPr>
        <w:t>Configuration :</w:t>
      </w:r>
    </w:p>
    <w:p>
      <w:r>
        <w:rPr>
          <w:sz w:val="18"/>
        </w:rPr>
        <w:t>Admin → Organisation → Sécurité → "Configurer le SSO"</w:t>
      </w:r>
    </w:p>
    <w:p>
      <w:r>
        <w:rPr>
          <w:sz w:val="18"/>
        </w:rPr>
        <w:t>Un guide de configuration détaillé est disponible pour :</w:t>
      </w:r>
    </w:p>
    <w:p>
      <w:pPr>
        <w:pStyle w:val="ListBullet"/>
      </w:pPr>
      <w:r>
        <w:rPr>
          <w:sz w:val="18"/>
        </w:rPr>
        <w:t>Azure Active Directory</w:t>
      </w:r>
    </w:p>
    <w:p>
      <w:pPr>
        <w:pStyle w:val="ListBullet"/>
      </w:pPr>
      <w:r>
        <w:rPr>
          <w:sz w:val="18"/>
        </w:rPr>
        <w:t>Google Workspace</w:t>
      </w:r>
    </w:p>
    <w:p>
      <w:pPr>
        <w:pStyle w:val="ListBullet"/>
      </w:pPr>
      <w:r>
        <w:rPr>
          <w:sz w:val="18"/>
        </w:rPr>
        <w:t>Okta</w:t>
      </w:r>
    </w:p>
    <w:p>
      <w:pPr>
        <w:pStyle w:val="ListBullet"/>
      </w:pPr>
      <w:r>
        <w:rPr>
          <w:sz w:val="18"/>
        </w:rPr>
        <w:t>Auth0</w:t>
      </w:r>
    </w:p>
    <w:p/>
    <w:p>
      <w:pPr>
        <w:pStyle w:val="Heading1"/>
      </w:pPr>
      <w:r>
        <w:rPr>
          <w:color w:val="1F4E79"/>
        </w:rPr>
        <w:t>CHAPITRE 4 — TABLEAUX DE BORD ET RAPPORTS</w:t>
      </w:r>
    </w:p>
    <w:p/>
    <w:p>
      <w:pPr>
        <w:pStyle w:val="Heading2"/>
      </w:pPr>
      <w:r>
        <w:rPr>
          <w:color w:val="2E75B6"/>
        </w:rPr>
        <w:t>4.1 Tableau de bord principal</w:t>
      </w:r>
    </w:p>
    <w:p>
      <w:r>
        <w:rPr>
          <w:sz w:val="18"/>
        </w:rPr>
        <w:t>Le tableau de bord affiche en temps réel :</w:t>
      </w:r>
    </w:p>
    <w:p>
      <w:pPr>
        <w:pStyle w:val="ListBullet"/>
      </w:pPr>
      <w:r>
        <w:rPr>
          <w:sz w:val="18"/>
        </w:rPr>
        <w:t>Activité récente de votre équipe</w:t>
      </w:r>
    </w:p>
    <w:p>
      <w:pPr>
        <w:pStyle w:val="ListBullet"/>
      </w:pPr>
      <w:r>
        <w:rPr>
          <w:sz w:val="18"/>
        </w:rPr>
        <w:t>Documents modifiés récemment</w:t>
      </w:r>
    </w:p>
    <w:p>
      <w:pPr>
        <w:pStyle w:val="ListBullet"/>
      </w:pPr>
      <w:r>
        <w:rPr>
          <w:sz w:val="18"/>
        </w:rPr>
        <w:t>Tâches en attente</w:t>
      </w:r>
    </w:p>
    <w:p>
      <w:pPr>
        <w:pStyle w:val="ListBullet"/>
      </w:pPr>
      <w:r>
        <w:rPr>
          <w:sz w:val="18"/>
        </w:rPr>
        <w:t>Statistiques d'utilisation</w:t>
      </w:r>
    </w:p>
    <w:p/>
    <w:p>
      <w:r>
        <w:rPr>
          <w:sz w:val="18"/>
        </w:rPr>
        <w:t>Personnalisation :</w:t>
      </w:r>
    </w:p>
    <w:p>
      <w:r>
        <w:rPr>
          <w:sz w:val="18"/>
        </w:rPr>
        <w:t>Cliquer sur "Personnaliser" en haut à droite pour :</w:t>
      </w:r>
    </w:p>
    <w:p>
      <w:pPr>
        <w:pStyle w:val="ListBullet"/>
      </w:pPr>
      <w:r>
        <w:rPr>
          <w:sz w:val="18"/>
        </w:rPr>
        <w:t>Ajouter / supprimer des widgets</w:t>
      </w:r>
    </w:p>
    <w:p>
      <w:pPr>
        <w:pStyle w:val="ListBullet"/>
      </w:pPr>
      <w:r>
        <w:rPr>
          <w:sz w:val="18"/>
        </w:rPr>
        <w:t>Réorganiser les blocs par glisser-déposer</w:t>
      </w:r>
    </w:p>
    <w:p>
      <w:pPr>
        <w:pStyle w:val="ListBullet"/>
      </w:pPr>
      <w:r>
        <w:rPr>
          <w:sz w:val="18"/>
        </w:rPr>
        <w:t>Choisir la période d'affichage</w:t>
      </w:r>
    </w:p>
    <w:p/>
    <w:p>
      <w:pPr>
        <w:pStyle w:val="Heading2"/>
      </w:pPr>
      <w:r>
        <w:rPr>
          <w:color w:val="2E75B6"/>
        </w:rPr>
        <w:t>4.2 Rapports prédéfinis</w:t>
      </w:r>
    </w:p>
    <w:p>
      <w:r>
        <w:rPr>
          <w:sz w:val="18"/>
        </w:rPr>
        <w:t>Rapports → Bibliothèque de rapports</w:t>
      </w:r>
    </w:p>
    <w:p/>
    <w:p>
      <w:r>
        <w:rPr>
          <w:sz w:val="18"/>
        </w:rPr>
        <w:t>Rapports disponibles par défaut :</w:t>
      </w:r>
    </w:p>
    <w:p>
      <w:pPr>
        <w:pStyle w:val="ListBullet"/>
      </w:pPr>
      <w:r>
        <w:rPr>
          <w:sz w:val="18"/>
        </w:rPr>
        <w:t>Rapport d'activité utilisateurs (hebdomadaire/mensuel)</w:t>
      </w:r>
    </w:p>
    <w:p>
      <w:pPr>
        <w:pStyle w:val="ListBullet"/>
      </w:pPr>
      <w:r>
        <w:rPr>
          <w:sz w:val="18"/>
        </w:rPr>
        <w:t>Rapport d'utilisation du stockage</w:t>
      </w:r>
    </w:p>
    <w:p>
      <w:pPr>
        <w:pStyle w:val="ListBullet"/>
      </w:pPr>
      <w:r>
        <w:rPr>
          <w:sz w:val="18"/>
        </w:rPr>
        <w:t>Rapport d'accès et connexions</w:t>
      </w:r>
    </w:p>
    <w:p>
      <w:pPr>
        <w:pStyle w:val="ListBullet"/>
      </w:pPr>
      <w:r>
        <w:rPr>
          <w:sz w:val="18"/>
        </w:rPr>
        <w:t>Rapport d'activité par projet</w:t>
      </w:r>
    </w:p>
    <w:p>
      <w:pPr>
        <w:pStyle w:val="ListBullet"/>
      </w:pPr>
      <w:r>
        <w:rPr>
          <w:sz w:val="18"/>
        </w:rPr>
        <w:t>Rapport de partage de documents</w:t>
      </w:r>
    </w:p>
    <w:p/>
    <w:p>
      <w:pPr>
        <w:pStyle w:val="Heading2"/>
      </w:pPr>
      <w:r>
        <w:rPr>
          <w:color w:val="2E75B6"/>
        </w:rPr>
        <w:t>4.3 Rapports personnalisés (Pro et supérieur)</w:t>
      </w:r>
    </w:p>
    <w:p>
      <w:r>
        <w:rPr>
          <w:sz w:val="18"/>
        </w:rPr>
        <w:t>Rapports → "+ Nouveau rapport"</w:t>
      </w:r>
    </w:p>
    <w:p/>
    <w:p>
      <w:pPr>
        <w:pStyle w:val="Heading2"/>
      </w:pPr>
      <w:r>
        <w:rPr>
          <w:color w:val="2E75B6"/>
        </w:rPr>
        <w:t>1. Choisir la source de données</w:t>
      </w:r>
    </w:p>
    <w:p>
      <w:pPr>
        <w:pStyle w:val="Heading2"/>
      </w:pPr>
      <w:r>
        <w:rPr>
          <w:color w:val="2E75B6"/>
        </w:rPr>
        <w:t>2. Sélectionner les dimensions (date, utilisateur, projet, type de document...)</w:t>
      </w:r>
    </w:p>
    <w:p>
      <w:pPr>
        <w:pStyle w:val="Heading2"/>
      </w:pPr>
      <w:r>
        <w:rPr>
          <w:color w:val="2E75B6"/>
        </w:rPr>
        <w:t>3. Choisir les métriques (nombre de vues, téléchargements, modifications...)</w:t>
      </w:r>
    </w:p>
    <w:p>
      <w:pPr>
        <w:pStyle w:val="Heading2"/>
      </w:pPr>
      <w:r>
        <w:rPr>
          <w:color w:val="2E75B6"/>
        </w:rPr>
        <w:t>4. Appliquer des filtres</w:t>
      </w:r>
    </w:p>
    <w:p>
      <w:pPr>
        <w:pStyle w:val="Heading2"/>
      </w:pPr>
      <w:r>
        <w:rPr>
          <w:color w:val="2E75B6"/>
        </w:rPr>
        <w:t>5. Choisir la visualisation (tableau, graphique, carte...)</w:t>
      </w:r>
    </w:p>
    <w:p>
      <w:pPr>
        <w:pStyle w:val="Heading2"/>
      </w:pPr>
      <w:r>
        <w:rPr>
          <w:color w:val="2E75B6"/>
        </w:rPr>
        <w:t>6. Planifier l'envoi automatique par email</w:t>
      </w:r>
    </w:p>
    <w:p/>
    <w:p>
      <w:pPr>
        <w:pStyle w:val="Heading1"/>
      </w:pPr>
      <w:r>
        <w:rPr>
          <w:color w:val="1F4E79"/>
        </w:rPr>
        <w:t>CHAPITRE 5 — INTÉGRATIONS</w:t>
      </w:r>
    </w:p>
    <w:p/>
    <w:p>
      <w:pPr>
        <w:pStyle w:val="Heading2"/>
      </w:pPr>
      <w:r>
        <w:rPr>
          <w:color w:val="2E75B6"/>
        </w:rPr>
        <w:t>5.1 Intégrations disponibles</w:t>
      </w:r>
    </w:p>
    <w:p>
      <w:r>
        <w:rPr>
          <w:sz w:val="18"/>
        </w:rPr>
        <w:t>Productivité :</w:t>
      </w:r>
    </w:p>
    <w:p>
      <w:pPr>
        <w:pStyle w:val="ListBullet"/>
      </w:pPr>
      <w:r>
        <w:rPr>
          <w:sz w:val="18"/>
        </w:rPr>
        <w:t>Slack : notifications et partage de documents</w:t>
      </w:r>
    </w:p>
    <w:p>
      <w:pPr>
        <w:pStyle w:val="ListBullet"/>
      </w:pPr>
      <w:r>
        <w:rPr>
          <w:sz w:val="18"/>
        </w:rPr>
        <w:t>Microsoft Teams : collaboration en temps réel</w:t>
      </w:r>
    </w:p>
    <w:p>
      <w:pPr>
        <w:pStyle w:val="ListBullet"/>
      </w:pPr>
      <w:r>
        <w:rPr>
          <w:sz w:val="18"/>
        </w:rPr>
        <w:t>Google Workspace : synchronisation Drive, Agenda, Gmail</w:t>
      </w:r>
    </w:p>
    <w:p>
      <w:pPr>
        <w:pStyle w:val="ListBullet"/>
      </w:pPr>
      <w:r>
        <w:rPr>
          <w:sz w:val="18"/>
        </w:rPr>
        <w:t>Microsoft 365 : synchronisation OneDrive, Outlook, Teams</w:t>
      </w:r>
    </w:p>
    <w:p/>
    <w:p>
      <w:r>
        <w:rPr>
          <w:sz w:val="18"/>
        </w:rPr>
        <w:t>CRM (Business et Enterprise) :</w:t>
      </w:r>
    </w:p>
    <w:p>
      <w:pPr>
        <w:pStyle w:val="ListBullet"/>
      </w:pPr>
      <w:r>
        <w:rPr>
          <w:sz w:val="18"/>
        </w:rPr>
        <w:t>Salesforce : synchronisation contacts et opportunités</w:t>
      </w:r>
    </w:p>
    <w:p>
      <w:pPr>
        <w:pStyle w:val="ListBullet"/>
      </w:pPr>
      <w:r>
        <w:rPr>
          <w:sz w:val="18"/>
        </w:rPr>
        <w:t>HubSpot : synchronisation contacts et deals</w:t>
      </w:r>
    </w:p>
    <w:p>
      <w:pPr>
        <w:pStyle w:val="ListBullet"/>
      </w:pPr>
      <w:r>
        <w:rPr>
          <w:sz w:val="18"/>
        </w:rPr>
        <w:t>Pipedrive : synchronisation pipeline commercial</w:t>
      </w:r>
    </w:p>
    <w:p/>
    <w:p>
      <w:r>
        <w:rPr>
          <w:sz w:val="18"/>
        </w:rPr>
        <w:t>ERP (Enterprise) :</w:t>
      </w:r>
    </w:p>
    <w:p>
      <w:pPr>
        <w:pStyle w:val="ListBullet"/>
      </w:pPr>
      <w:r>
        <w:rPr>
          <w:sz w:val="18"/>
        </w:rPr>
        <w:t>SAP : synchronisation données métier</w:t>
      </w:r>
    </w:p>
    <w:p>
      <w:pPr>
        <w:pStyle w:val="ListBullet"/>
      </w:pPr>
      <w:r>
        <w:rPr>
          <w:sz w:val="18"/>
        </w:rPr>
        <w:t>Oracle : synchronisation données financières</w:t>
      </w:r>
    </w:p>
    <w:p/>
    <w:p>
      <w:r>
        <w:rPr>
          <w:sz w:val="18"/>
        </w:rPr>
        <w:t>Automatisation :</w:t>
      </w:r>
    </w:p>
    <w:p>
      <w:pPr>
        <w:pStyle w:val="ListBullet"/>
      </w:pPr>
      <w:r>
        <w:rPr>
          <w:sz w:val="18"/>
        </w:rPr>
        <w:t>Zapier : automatisations sans code (toutes versions)</w:t>
      </w:r>
    </w:p>
    <w:p>
      <w:pPr>
        <w:pStyle w:val="ListBullet"/>
      </w:pPr>
      <w:r>
        <w:rPr>
          <w:sz w:val="18"/>
        </w:rPr>
        <w:t>Make (ex-Integromat) : automatisations avancées</w:t>
      </w:r>
    </w:p>
    <w:p>
      <w:pPr>
        <w:pStyle w:val="ListBullet"/>
      </w:pPr>
      <w:r>
        <w:rPr>
          <w:sz w:val="18"/>
        </w:rPr>
        <w:t>API REST : intégration sur mesure</w:t>
      </w:r>
    </w:p>
    <w:p/>
    <w:p>
      <w:pPr>
        <w:pStyle w:val="Heading2"/>
      </w:pPr>
      <w:r>
        <w:rPr>
          <w:color w:val="2E75B6"/>
        </w:rPr>
        <w:t>5.2 Configurer une intégration</w:t>
      </w:r>
    </w:p>
    <w:p>
      <w:r>
        <w:rPr>
          <w:sz w:val="18"/>
        </w:rPr>
        <w:t>Admin → Intégrations → Choisir l'intégration → "Connecter"</w:t>
      </w:r>
    </w:p>
    <w:p/>
    <w:p>
      <w:r>
        <w:rPr>
          <w:sz w:val="18"/>
        </w:rPr>
        <w:t>Étapes générales :</w:t>
      </w:r>
    </w:p>
    <w:p>
      <w:pPr>
        <w:pStyle w:val="Heading2"/>
      </w:pPr>
      <w:r>
        <w:rPr>
          <w:color w:val="2E75B6"/>
        </w:rPr>
        <w:t>1. Autoriser TechVision à accéder à l'application tierce</w:t>
      </w:r>
    </w:p>
    <w:p>
      <w:pPr>
        <w:pStyle w:val="Heading2"/>
      </w:pPr>
      <w:r>
        <w:rPr>
          <w:color w:val="2E75B6"/>
        </w:rPr>
        <w:t>2. Configurer les paramètres de synchronisation</w:t>
      </w:r>
    </w:p>
    <w:p>
      <w:pPr>
        <w:pStyle w:val="Heading2"/>
      </w:pPr>
      <w:r>
        <w:rPr>
          <w:color w:val="2E75B6"/>
        </w:rPr>
        <w:t>3. Choisir la fréquence de synchronisation</w:t>
      </w:r>
    </w:p>
    <w:p>
      <w:pPr>
        <w:pStyle w:val="Heading2"/>
      </w:pPr>
      <w:r>
        <w:rPr>
          <w:color w:val="2E75B6"/>
        </w:rPr>
        <w:t>4. Tester la connexion</w:t>
      </w:r>
    </w:p>
    <w:p>
      <w:pPr>
        <w:pStyle w:val="Heading2"/>
      </w:pPr>
      <w:r>
        <w:rPr>
          <w:color w:val="2E75B6"/>
        </w:rPr>
        <w:t>5. Activer l'intégration</w:t>
      </w:r>
    </w:p>
    <w:p/>
    <w:p>
      <w:pPr>
        <w:pStyle w:val="Heading2"/>
      </w:pPr>
      <w:r>
        <w:rPr>
          <w:color w:val="2E75B6"/>
        </w:rPr>
        <w:t>5.3 Gestion des clés API</w:t>
      </w:r>
    </w:p>
    <w:p>
      <w:r>
        <w:rPr>
          <w:sz w:val="18"/>
        </w:rPr>
        <w:t>Admin → API → "Générer une nouvelle clé"</w:t>
      </w:r>
    </w:p>
    <w:p/>
    <w:p>
      <w:r>
        <w:rPr>
          <w:sz w:val="18"/>
        </w:rPr>
        <w:t>Bonnes pratiques :</w:t>
      </w:r>
    </w:p>
    <w:p>
      <w:pPr>
        <w:pStyle w:val="ListBullet"/>
      </w:pPr>
      <w:r>
        <w:rPr>
          <w:sz w:val="18"/>
        </w:rPr>
        <w:t>Donner un nom explicite à chaque clé (ex: "Intégration Zapier Production")</w:t>
      </w:r>
    </w:p>
    <w:p>
      <w:pPr>
        <w:pStyle w:val="ListBullet"/>
      </w:pPr>
      <w:r>
        <w:rPr>
          <w:sz w:val="18"/>
        </w:rPr>
        <w:t>Définir une date d'expiration (90 jours recommandés)</w:t>
      </w:r>
    </w:p>
    <w:p>
      <w:pPr>
        <w:pStyle w:val="ListBullet"/>
      </w:pPr>
      <w:r>
        <w:rPr>
          <w:sz w:val="18"/>
        </w:rPr>
        <w:t>Ne jamais partager une clé API par email non chiffré</w:t>
      </w:r>
    </w:p>
    <w:p>
      <w:pPr>
        <w:pStyle w:val="ListBullet"/>
      </w:pPr>
      <w:r>
        <w:rPr>
          <w:sz w:val="18"/>
        </w:rPr>
        <w:t>Révoquer immédiatement une clé compromise</w:t>
      </w:r>
    </w:p>
    <w:p/>
    <w:p>
      <w:r>
        <w:rPr>
          <w:sz w:val="18"/>
        </w:rPr>
        <w:t>Limites par plan :</w:t>
      </w:r>
    </w:p>
    <w:p>
      <w:pPr>
        <w:pStyle w:val="ListBullet"/>
      </w:pPr>
      <w:r>
        <w:rPr>
          <w:sz w:val="18"/>
        </w:rPr>
        <w:t>Starter : 1 000 appels/jour</w:t>
      </w:r>
    </w:p>
    <w:p>
      <w:pPr>
        <w:pStyle w:val="ListBullet"/>
      </w:pPr>
      <w:r>
        <w:rPr>
          <w:sz w:val="18"/>
        </w:rPr>
        <w:t>Pro : 10 000 appels/jour</w:t>
      </w:r>
    </w:p>
    <w:p>
      <w:pPr>
        <w:pStyle w:val="ListBullet"/>
      </w:pPr>
      <w:r>
        <w:rPr>
          <w:sz w:val="18"/>
        </w:rPr>
        <w:t>Business : 100 000 appels/jour</w:t>
      </w:r>
    </w:p>
    <w:p>
      <w:pPr>
        <w:pStyle w:val="ListBullet"/>
      </w:pPr>
      <w:r>
        <w:rPr>
          <w:sz w:val="18"/>
        </w:rPr>
        <w:t>Enterprise : illimité</w:t>
      </w:r>
    </w:p>
    <w:p/>
    <w:p>
      <w:r>
        <w:rPr>
          <w:sz w:val="18"/>
        </w:rPr>
        <w:t>Versions API disponibles :</w:t>
      </w:r>
    </w:p>
    <w:p>
      <w:pPr>
        <w:pStyle w:val="ListBullet"/>
      </w:pPr>
      <w:r>
        <w:rPr>
          <w:sz w:val="18"/>
        </w:rPr>
        <w:t>v2 : standard, disponible tous les plans</w:t>
      </w:r>
    </w:p>
    <w:p>
      <w:pPr>
        <w:pStyle w:val="ListBullet"/>
      </w:pPr>
      <w:r>
        <w:rPr>
          <w:sz w:val="18"/>
        </w:rPr>
        <w:t>v3 : avancée avec webhooks, plans Business et Enterprise</w:t>
      </w:r>
    </w:p>
    <w:p/>
    <w:p>
      <w:pPr>
        <w:pStyle w:val="Heading1"/>
      </w:pPr>
      <w:r>
        <w:rPr>
          <w:color w:val="1F4E79"/>
        </w:rPr>
        <w:t>CHAPITRE 6 — SÉCURITÉ ET CONFORMITÉ</w:t>
      </w:r>
    </w:p>
    <w:p/>
    <w:p>
      <w:pPr>
        <w:pStyle w:val="Heading2"/>
      </w:pPr>
      <w:r>
        <w:rPr>
          <w:color w:val="2E75B6"/>
        </w:rPr>
        <w:t>6.1 Chiffrement des données</w:t>
      </w:r>
    </w:p>
    <w:p>
      <w:pPr>
        <w:pStyle w:val="ListBullet"/>
      </w:pPr>
      <w:r>
        <w:rPr>
          <w:sz w:val="18"/>
        </w:rPr>
        <w:t>Données en transit : TLS 1.3</w:t>
      </w:r>
    </w:p>
    <w:p>
      <w:pPr>
        <w:pStyle w:val="ListBullet"/>
      </w:pPr>
      <w:r>
        <w:rPr>
          <w:sz w:val="18"/>
        </w:rPr>
        <w:t>Données au repos : AES-256</w:t>
      </w:r>
    </w:p>
    <w:p>
      <w:pPr>
        <w:pStyle w:val="ListBullet"/>
      </w:pPr>
      <w:r>
        <w:rPr>
          <w:sz w:val="18"/>
        </w:rPr>
        <w:t>Sauvegardes : chiffrées AES-256, toutes les 4 heures</w:t>
      </w:r>
    </w:p>
    <w:p>
      <w:pPr>
        <w:pStyle w:val="ListBullet"/>
      </w:pPr>
      <w:r>
        <w:rPr>
          <w:sz w:val="18"/>
        </w:rPr>
        <w:t>Rétention des sauvegardes : 30 jours</w:t>
      </w:r>
    </w:p>
    <w:p/>
    <w:p>
      <w:pPr>
        <w:pStyle w:val="Heading2"/>
      </w:pPr>
      <w:r>
        <w:rPr>
          <w:color w:val="2E75B6"/>
        </w:rPr>
        <w:t>6.2 Journaux d'audit</w:t>
      </w:r>
    </w:p>
    <w:p>
      <w:r>
        <w:rPr>
          <w:sz w:val="18"/>
        </w:rPr>
        <w:t>Disponible sur tous les plans.</w:t>
      </w:r>
    </w:p>
    <w:p>
      <w:r>
        <w:rPr>
          <w:sz w:val="18"/>
        </w:rPr>
        <w:t>Admin → Sécurité → "Journaux d'audit"</w:t>
      </w:r>
    </w:p>
    <w:p/>
    <w:p>
      <w:r>
        <w:rPr>
          <w:sz w:val="18"/>
        </w:rPr>
        <w:t>Événements tracés :</w:t>
      </w:r>
    </w:p>
    <w:p>
      <w:pPr>
        <w:pStyle w:val="ListBullet"/>
      </w:pPr>
      <w:r>
        <w:rPr>
          <w:sz w:val="18"/>
        </w:rPr>
        <w:t>Connexions et déconnexions</w:t>
      </w:r>
    </w:p>
    <w:p>
      <w:pPr>
        <w:pStyle w:val="ListBullet"/>
      </w:pPr>
      <w:r>
        <w:rPr>
          <w:sz w:val="18"/>
        </w:rPr>
        <w:t>Modifications de documents</w:t>
      </w:r>
    </w:p>
    <w:p>
      <w:pPr>
        <w:pStyle w:val="ListBullet"/>
      </w:pPr>
      <w:r>
        <w:rPr>
          <w:sz w:val="18"/>
        </w:rPr>
        <w:t>Changements de permissions</w:t>
      </w:r>
    </w:p>
    <w:p>
      <w:pPr>
        <w:pStyle w:val="ListBullet"/>
      </w:pPr>
      <w:r>
        <w:rPr>
          <w:sz w:val="18"/>
        </w:rPr>
        <w:t>Actions administrateur</w:t>
      </w:r>
    </w:p>
    <w:p>
      <w:pPr>
        <w:pStyle w:val="ListBullet"/>
      </w:pPr>
      <w:r>
        <w:rPr>
          <w:sz w:val="18"/>
        </w:rPr>
        <w:t>Accès API</w:t>
      </w:r>
    </w:p>
    <w:p>
      <w:pPr>
        <w:pStyle w:val="ListBullet"/>
      </w:pPr>
      <w:r>
        <w:rPr>
          <w:sz w:val="18"/>
        </w:rPr>
        <w:t>Tentatives de connexion échouées</w:t>
      </w:r>
    </w:p>
    <w:p/>
    <w:p>
      <w:r>
        <w:rPr>
          <w:sz w:val="18"/>
        </w:rPr>
        <w:t>Rétention des journaux :</w:t>
      </w:r>
    </w:p>
    <w:p>
      <w:pPr>
        <w:pStyle w:val="ListBullet"/>
      </w:pPr>
      <w:r>
        <w:rPr>
          <w:sz w:val="18"/>
        </w:rPr>
        <w:t>Starter, Pro : 90 jours</w:t>
      </w:r>
    </w:p>
    <w:p>
      <w:pPr>
        <w:pStyle w:val="ListBullet"/>
      </w:pPr>
      <w:r>
        <w:rPr>
          <w:sz w:val="18"/>
        </w:rPr>
        <w:t>Business : 1 an</w:t>
      </w:r>
    </w:p>
    <w:p>
      <w:pPr>
        <w:pStyle w:val="ListBullet"/>
      </w:pPr>
      <w:r>
        <w:rPr>
          <w:sz w:val="18"/>
        </w:rPr>
        <w:t>Enterprise : 7 ans (conformité réglementaire)</w:t>
      </w:r>
    </w:p>
    <w:p/>
    <w:p>
      <w:pPr>
        <w:pStyle w:val="Heading2"/>
      </w:pPr>
      <w:r>
        <w:rPr>
          <w:color w:val="2E75B6"/>
        </w:rPr>
        <w:t>6.3 Conformité réglementaire</w:t>
      </w:r>
    </w:p>
    <w:p>
      <w:r>
        <w:rPr>
          <w:sz w:val="18"/>
        </w:rPr>
        <w:t>TechVision est conforme aux réglementations suivantes :</w:t>
      </w:r>
    </w:p>
    <w:p>
      <w:pPr>
        <w:pStyle w:val="ListBullet"/>
      </w:pPr>
      <w:r>
        <w:rPr>
          <w:sz w:val="18"/>
        </w:rPr>
        <w:t>RGPD (Règlement Général sur la Protection des Données)</w:t>
      </w:r>
    </w:p>
    <w:p>
      <w:pPr>
        <w:pStyle w:val="ListBullet"/>
      </w:pPr>
      <w:r>
        <w:rPr>
          <w:sz w:val="18"/>
        </w:rPr>
        <w:t>ISO 27001 (Sécurité de l'information)</w:t>
      </w:r>
    </w:p>
    <w:p>
      <w:pPr>
        <w:pStyle w:val="ListBullet"/>
      </w:pPr>
      <w:r>
        <w:rPr>
          <w:sz w:val="18"/>
        </w:rPr>
        <w:t>SOC 2 Type II</w:t>
      </w:r>
    </w:p>
    <w:p>
      <w:pPr>
        <w:pStyle w:val="ListBullet"/>
      </w:pPr>
      <w:r>
        <w:rPr>
          <w:sz w:val="18"/>
        </w:rPr>
        <w:t>HDS (Hébergement de Données de Santé) — Enterprise uniquement</w:t>
      </w:r>
    </w:p>
    <w:p/>
    <w:p>
      <w:r>
        <w:rPr>
          <w:sz w:val="18"/>
        </w:rPr>
        <w:t>DPA (Data Processing Agreement) disponible sur demande :</w:t>
      </w:r>
    </w:p>
    <w:p>
      <w:r>
        <w:rPr>
          <w:sz w:val="18"/>
        </w:rPr>
        <w:t>legal@techvision.fr</w:t>
      </w:r>
    </w:p>
    <w:p/>
    <w:p>
      <w:r>
        <w:rPr>
          <w:sz w:val="18"/>
        </w:rPr>
        <w:t>ANNEXE A — RÉSOLUTION DES PROBLÈMES COURANTS</w:t>
      </w:r>
    </w:p>
    <w:p/>
    <w:p>
      <w:r>
        <w:rPr>
          <w:sz w:val="18"/>
        </w:rPr>
        <w:t>Problème : Page blanche au chargement</w:t>
      </w:r>
    </w:p>
    <w:p>
      <w:r>
        <w:rPr>
          <w:sz w:val="18"/>
        </w:rPr>
        <w:t>Solution : Vider le cache navigateur (Ctrl+Shift+Del) → Actualiser</w:t>
      </w:r>
    </w:p>
    <w:p/>
    <w:p>
      <w:r>
        <w:rPr>
          <w:sz w:val="18"/>
        </w:rPr>
        <w:t>Problème : Upload de fichier échoue</w:t>
      </w:r>
    </w:p>
    <w:p>
      <w:r>
        <w:rPr>
          <w:sz w:val="18"/>
        </w:rPr>
        <w:t>Solution :</w:t>
      </w:r>
    </w:p>
    <w:p>
      <w:pPr>
        <w:pStyle w:val="Heading2"/>
      </w:pPr>
      <w:r>
        <w:rPr>
          <w:color w:val="2E75B6"/>
        </w:rPr>
        <w:t>1. Vérifier la taille du fichier vs limite de votre plan</w:t>
      </w:r>
    </w:p>
    <w:p>
      <w:pPr>
        <w:pStyle w:val="Heading2"/>
      </w:pPr>
      <w:r>
        <w:rPr>
          <w:color w:val="2E75B6"/>
        </w:rPr>
        <w:t>2. Vérifier que le format est supporté</w:t>
      </w:r>
    </w:p>
    <w:p>
      <w:pPr>
        <w:pStyle w:val="Heading2"/>
      </w:pPr>
      <w:r>
        <w:rPr>
          <w:color w:val="2E75B6"/>
        </w:rPr>
        <w:t>3. Essayer depuis un autre navigateur</w:t>
      </w:r>
    </w:p>
    <w:p/>
    <w:p>
      <w:r>
        <w:rPr>
          <w:sz w:val="18"/>
        </w:rPr>
        <w:t>Problème : Notifications non reçues</w:t>
      </w:r>
    </w:p>
    <w:p>
      <w:r>
        <w:rPr>
          <w:sz w:val="18"/>
        </w:rPr>
        <w:t>Solution :</w:t>
      </w:r>
    </w:p>
    <w:p>
      <w:pPr>
        <w:pStyle w:val="Heading2"/>
      </w:pPr>
      <w:r>
        <w:rPr>
          <w:color w:val="2E75B6"/>
        </w:rPr>
        <w:t>1. Vérifier les paramètres de notification : Profil → Notifications</w:t>
      </w:r>
    </w:p>
    <w:p>
      <w:pPr>
        <w:pStyle w:val="Heading2"/>
      </w:pPr>
      <w:r>
        <w:rPr>
          <w:color w:val="2E75B6"/>
        </w:rPr>
        <w:t>2. Vérifier que les emails TechVision ne sont pas en spam</w:t>
      </w:r>
    </w:p>
    <w:p>
      <w:pPr>
        <w:pStyle w:val="Heading2"/>
      </w:pPr>
      <w:r>
        <w:rPr>
          <w:color w:val="2E75B6"/>
        </w:rPr>
        <w:t>3. Vérifier les paramètres de votre navigateur (autoriser les notifications)</w:t>
      </w:r>
    </w:p>
    <w:p/>
    <w:p>
      <w:r>
        <w:rPr>
          <w:sz w:val="18"/>
        </w:rPr>
        <w:t>Problème : Impossible de partager avec un utilisateur externe</w:t>
      </w:r>
    </w:p>
    <w:p>
      <w:r>
        <w:rPr>
          <w:sz w:val="18"/>
        </w:rPr>
        <w:t>Solution :</w:t>
      </w:r>
    </w:p>
    <w:p>
      <w:r>
        <w:rPr>
          <w:sz w:val="18"/>
        </w:rPr>
        <w:t>Le partage externe nécessite un plan Pro minimum.</w:t>
      </w:r>
    </w:p>
    <w:p>
      <w:r>
        <w:rPr>
          <w:sz w:val="18"/>
        </w:rPr>
        <w:t>Vérifier votre plan : Admin → Abonnement</w:t>
      </w:r>
    </w:p>
    <w:p/>
    <w:p>
      <w:r>
        <w:rPr>
          <w:sz w:val="18"/>
        </w:rPr>
        <w:t>Problème : Rapport ne se génère pas</w:t>
      </w:r>
    </w:p>
    <w:p>
      <w:r>
        <w:rPr>
          <w:sz w:val="18"/>
        </w:rPr>
        <w:t>Solution :</w:t>
      </w:r>
    </w:p>
    <w:p>
      <w:pPr>
        <w:pStyle w:val="Heading2"/>
      </w:pPr>
      <w:r>
        <w:rPr>
          <w:color w:val="2E75B6"/>
        </w:rPr>
        <w:t>1. Vérifier la période sélectionnée (max 12 mois)</w:t>
      </w:r>
    </w:p>
    <w:p>
      <w:pPr>
        <w:pStyle w:val="Heading2"/>
      </w:pPr>
      <w:r>
        <w:rPr>
          <w:color w:val="2E75B6"/>
        </w:rPr>
        <w:t>2. Vérifier que les données existent sur cette période</w:t>
      </w:r>
    </w:p>
    <w:p>
      <w:pPr>
        <w:pStyle w:val="Heading2"/>
      </w:pPr>
      <w:r>
        <w:rPr>
          <w:color w:val="2E75B6"/>
        </w:rPr>
        <w:t>3. Contacter le support si le problème persiste</w:t>
      </w:r>
    </w:p>
    <w:p/>
    <w:p>
      <w:r>
        <w:rPr>
          <w:sz w:val="18"/>
        </w:rPr>
        <w:t>TechVision SAS — Document confidentiel — Usage interne</w:t>
      </w:r>
    </w:p>
    <w:p>
      <w:r>
        <w:rPr>
          <w:sz w:val="18"/>
        </w:rPr>
        <w:t>Pour toute question : aide.techvision.fr | support@techvision.fr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 TechVision</dc:title>
  <dc:subject>SmartSupport RAG — Données de test</dc:subject>
  <dc:creator>Oumou Kanfana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