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具身智能公开招聘研究最终综合报告</w:t>
      </w:r>
    </w:p>
    <w:p>
      <w:r>
        <w:rPr/>
        <w:t>Astra　2026年9月18日　核心研究修订与 Q2 全职能拓展 V3</w:t>
      </w:r>
    </w:p>
    <w:p>
      <w:r>
        <w:rPr/>
        <w:t>本报告研究已冻结的24个招聘主体、1,654条公开广告中，公司如何组织职能、描述活动，以及表达同类工作的技术和工具要求。主要认识是：公司整体的活动比例会受到职能构成影响；同一职能内仍有不同工作对象；具体工具的提及、明确必备和一般要求也不能相互替代。</w:t>
      </w:r>
    </w:p>
    <w:p>
      <w:r>
        <w:rPr/>
      </w:r>
      <w:r>
        <w:rPr>
          <w:b/>
        </w:rPr>
        <w:t>本轮六步工作已完成。</w:t>
      </w:r>
      <w:r>
        <w:rPr/>
        <w:t xml:space="preserve"> 三稿合并后的核心结果、84条工作对象研究、公司差异算术分解，与本版Q2内容复核和同任务深化分析在此合并。预设340条抽样已全文复核，1,208条强制队列已按规定范围复核。累计全文复核469条、仅边界语境复核760条；另347条不在本轮必做队列中，保留首轮编码。Q2成果按这个明确的复核范围收口，研究性质仍是固定样本的探索性描述。</w:t>
      </w:r>
    </w:p>
    <w:p>
      <w:r>
        <w:rPr/>
        <w:t>本版撤回依赖“部署与维护”历史标签口径一致性的实质结论。它保留原始编码和可追溯数字，但不再把这些数字用于证明客户现场部署或交付责任的差异。旧报告保留为历史版本，以本版结论台账为准。</w:t>
      </w:r>
    </w:p>
    <w:p>
      <w:pPr>
        <w:pStyle w:val="Heading1"/>
      </w:pPr>
      <w:r>
        <w:rPr/>
        <w:t>一 主要研究判断</w:t>
      </w:r>
    </w:p>
    <w:p>
      <w:r>
        <w:rPr/>
        <w:t>研究探索与宽口径质量活动经常出现在同名主职能之外。因此，招聘多少某类岗位，与多少岗位承担某项活动，是两个问题。研究活动不只发生在研究科学岗位，质量活动也不限于制造质量部门。这里观察的是广告里的职责，不是企业的组织架构。</w:t>
      </w:r>
    </w:p>
    <w:p>
      <w:r>
        <w:rPr/>
        <w:t>84条对象研究中，81条不能归属明确命名的产品或业务线。公司代表产品有助于理解背景，却不足以解释每条岗位。将模型、训练系统、机器人运行软件、业务后台等对象分开后，比较才更接近实际工作的差别。</w:t>
      </w:r>
    </w:p>
    <w:p>
      <w:r>
        <w:rPr/>
        <w:t>银河通用与Figure在四个共同职能内，工程活动率总差为+11.10个百分点。其中职能构成分量为+19.45，职能内活动率分量为−8.35；两个方向相反。总比例较高不能单独证明同类岗位更偏工程，也不能改写成业务模式的因果贡献率。</w:t>
      </w:r>
    </w:p>
    <w:p>
      <w:r>
        <w:rPr/>
        <w:t>Q2深化得到两种不同情形：机器人模型岗位里，银河通用与自变量的Python提及差异在放宽要求方式后仍存在；机器人运行软件里，两家C++提及率则接近。前者是当前文本中的差异线索，后者提示部分单格差异来自招聘写法和未解关系。两者都不直接测量实际工具使用量或工程能力。</w:t>
      </w:r>
    </w:p>
    <w:p>
      <w:r>
        <w:rPr/>
        <w:t>本轮不必补齐20家中国加20家美国。当前问题已能用冻结资料回答到有限范围。未来若研究供给类型，优先增加缺少独立公司的类型；若研究具身岗位的特殊性，需要相近的非具身工作作为对照。单纯凑齐国家数量不能解决这两类识别问题。</w:t>
      </w:r>
    </w:p>
    <w:p>
      <w:pPr>
        <w:pStyle w:val="Heading1"/>
      </w:pPr>
      <w:r>
        <w:rPr/>
        <w:t>二 样本和测量范围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1800"/>
        <w:gridCol w:w="5112"/>
      </w:tblGrid>
      <w:tr>
        <w:trPr>
          <w:cantSplit/>
          <w:tblHeader/>
        </w:trPr>
        <w:tc>
          <w:tcPr>
            <w:tcW w:type="dxa" w:w="3168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left"/>
            </w:pPr>
            <w:r>
              <w:rPr>
                <w:b/>
                <w:color w:val="FFFFFF"/>
                <w:sz w:val="20"/>
              </w:rPr>
              <w:t>分析范围</w:t>
            </w:r>
          </w:p>
        </w:tc>
        <w:tc>
          <w:tcPr>
            <w:tcW w:type="dxa" w:w="1800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广告数</w:t>
            </w:r>
          </w:p>
        </w:tc>
        <w:tc>
          <w:tcPr>
            <w:tcW w:type="dxa" w:w="5112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解释单位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冻结研究总体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1,654</w:t>
            </w:r>
          </w:p>
        </w:tc>
        <w:tc>
          <w:tcPr>
            <w:tcW w:type="dxa" w:w="51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24个招聘主体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整公司主范围</w:t>
            </w:r>
          </w:p>
        </w:tc>
        <w:tc>
          <w:tcPr>
            <w:tcW w:type="dxa" w:w="180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1,630</w:t>
            </w:r>
          </w:p>
        </w:tc>
        <w:tc>
          <w:tcPr>
            <w:tcW w:type="dxa" w:w="511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23家公司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Amazon FAR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type="dxa" w:w="51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团队单列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Q2具体职能全范围</w:t>
            </w:r>
          </w:p>
        </w:tc>
        <w:tc>
          <w:tcPr>
            <w:tcW w:type="dxa" w:w="180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1,576</w:t>
            </w:r>
          </w:p>
        </w:tc>
        <w:tc>
          <w:tcPr>
            <w:tcW w:type="dxa" w:w="511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17个具体职能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Q2整公司主范围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1,552</w:t>
            </w:r>
          </w:p>
        </w:tc>
        <w:tc>
          <w:tcPr>
            <w:tcW w:type="dxa" w:w="51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本版技术比较的总体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工作对象案例框</w:t>
            </w:r>
          </w:p>
        </w:tc>
        <w:tc>
          <w:tcPr>
            <w:tcW w:type="dxa" w:w="180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84</w:t>
            </w:r>
          </w:p>
        </w:tc>
        <w:tc>
          <w:tcPr>
            <w:tcW w:type="dxa" w:w="511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4家公司和2个职能</w:t>
            </w:r>
          </w:p>
        </w:tc>
      </w:tr>
    </w:tbl>
    <w:p>
      <w:pPr>
        <w:spacing w:after="40"/>
      </w:pPr>
    </w:p>
    <w:p>
      <w:r>
        <w:rPr/>
        <w:t>广告数不是人数、招录量或员工存量。资料来自冻结包中各次真实观察，不能当作同一时刻的行业普查。公司归属、广告地点、文本语言、供给方式分别记录。缺采或文本未写出的内容保留为未知或未记正例，不反推企业没有相应业务。</w:t>
      </w:r>
    </w:p>
    <w:p>
      <w:r>
        <w:rPr/>
        <w:t>Q2使用冻结Q2-v2.1目录354项，各职能采用自己的适用清单。技术概念、具名工具与协议、工程方法和操作资格分开表达。原14个语境格保留，另有8个职责分支格，共22格；示例、任选、兼有二者及条件执行不会被强制归成无条件。目录之外的工具名称不临时扩入正式比例。</w:t>
      </w:r>
    </w:p>
    <w:p>
      <w:r>
        <w:rPr/>
        <w:t>其余78条广告没有被硬放入单一具体职能：包括复合与任选结构、主职能歧义、未映射和来源不足。因此，这套Q2子集不能估计全部1,654条广告的复合技能比例。原冻结主分类、A/B/C和研究数据库均保持原版本。</w:t>
      </w:r>
    </w:p>
    <w:p>
      <w:pPr>
        <w:pStyle w:val="Heading2"/>
      </w:pPr>
      <w:r>
        <w:rPr/>
        <w:t>正例 未知和复核状态</w:t>
      </w:r>
    </w:p>
    <w:p>
      <w:r>
        <w:rPr/>
        <w:t>原语境表中，P是该指标的明确正例，Z是当前判读中未记正例，U是已发现但未解的对象、责任或分支关系；不适用NA与来源排除单独保留。可判断分母N=P+Z，含未知分母B=P+Z+U，主比例P/N。将未知分别全部当作非正例和正例，得到P/B至(P+U)/B的界限。它不是置信区间，也不覆盖尚未发现的漏判。</w:t>
      </w:r>
    </w:p>
    <w:p>
      <w:r>
        <w:rPr/>
        <w:t>每个格至少需要3家公司、合计N≥20才显示探索性组比例；公司点值0&lt;N&lt;10标注小样本。公司等权先算各公司的比例再平均，广告加权则合并广告计数。门槛只限定展示，不能带来总体代表性或统计显著性。主图条目筛选另需覆盖5家公司、10条明确正例广告；因此，没有主图不等于任何指标都不能汇总。</w:t>
      </w:r>
    </w:p>
    <w:p>
      <w:r>
        <w:rPr/>
        <w:t>测量状态与复核状态分开。Z或U=0不表示已经二次全文复核；本版469条全文、760条边界复核和347条继承首轮的状态逐广告可查。Astra回读自己的旧编码不构成独立双编码；对grok编码的复核也没有建立独立人工金标准。</w:t>
      </w:r>
    </w:p>
    <w:p>
      <w:pPr>
        <w:pStyle w:val="Caption"/>
      </w:pPr>
      <w:r>
        <w:rPr/>
        <w:t>数据与证据：tables/Q4_scope_definitions.csv；tables/Q3_review_receipts.csv；configs/Q_catalog_v2_frozen.json。</w:t>
      </w:r>
    </w:p>
    <w:p>
      <w:pPr>
        <w:pStyle w:val="Heading1"/>
      </w:pPr>
      <w:r>
        <w:rPr/>
        <w:t>三 职能与活动分布</w:t>
      </w:r>
    </w:p>
    <w:p>
      <w:r>
        <w:rPr/>
        <w:t>制造质量供应链、软件与平台、ML、公司支持和硬件在所见招聘中占较大的广告量。完整17职能规模和复核范围列于附录一；这些广告规模描述招聘表达的构成，不能用来估计公司实际部门人数或研发预算。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2160"/>
        <w:gridCol w:w="2160"/>
        <w:gridCol w:w="2448"/>
      </w:tblGrid>
      <w:tr>
        <w:trPr>
          <w:cantSplit/>
          <w:tblHeader/>
        </w:trPr>
        <w:tc>
          <w:tcPr>
            <w:tcW w:type="dxa" w:w="3312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left"/>
            </w:pPr>
            <w:r>
              <w:rPr>
                <w:b/>
                <w:color w:val="FFFFFF"/>
                <w:sz w:val="20"/>
              </w:rPr>
              <w:t>活动</w:t>
            </w:r>
          </w:p>
        </w:tc>
        <w:tc>
          <w:tcPr>
            <w:tcW w:type="dxa" w:w="2160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同名职能外正例</w:t>
            </w:r>
          </w:p>
        </w:tc>
        <w:tc>
          <w:tcPr>
            <w:tcW w:type="dxa" w:w="2160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比例</w:t>
            </w:r>
          </w:p>
        </w:tc>
        <w:tc>
          <w:tcPr>
            <w:tcW w:type="dxa" w:w="2448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口径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质量验证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300/459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65.4%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分母是该活动全部正例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研究探索</w:t>
            </w:r>
          </w:p>
        </w:tc>
        <w:tc>
          <w:tcPr>
            <w:tcW w:type="dxa" w:w="216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48/66</w:t>
            </w:r>
          </w:p>
        </w:tc>
        <w:tc>
          <w:tcPr>
            <w:tcW w:type="dxa" w:w="216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72.7%</w:t>
            </w:r>
          </w:p>
        </w:tc>
        <w:tc>
          <w:tcPr>
            <w:tcW w:type="dxa" w:w="244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分母是该活动全部正例</w:t>
            </w:r>
          </w:p>
        </w:tc>
      </w:tr>
    </w:tbl>
    <w:p>
      <w:pPr>
        <w:spacing w:after="40"/>
      </w:pPr>
    </w:p>
    <w:p>
      <w:r>
        <w:rPr/>
        <w:t>研究探索48/66、宽质量300/459出现在同名主职能之外。宽质量依据原规则包括验证执行、质量放行、合规和缺陷闭环，不能缩写为制造质量。全公司活动可判断广告中，研究与工程共同承担65/1,599，工程与质量共同承担301/1,599。活动可以并存，但共同写在一条广告里不证明实际流程的先后或部门协作结构。</w:t>
      </w:r>
    </w:p>
    <w:p>
      <w:pPr>
        <w:pStyle w:val="Heading2"/>
      </w:pPr>
      <w:r>
        <w:rPr/>
        <w:t>部署活动旧结论的处理</w:t>
      </w:r>
    </w:p>
    <w:p>
      <w:r>
        <w:rPr/>
        <w:t>原规则写的是“实际现场部署、验收、维修或运行维护”。八条定向全文回读显示，历史正例涉及模型集成、训练环境和物理样机，相关数字对象又存在未被同样纳入的记录。例如N0312的训练环境维护曾计入，N0401明确的模型维护却没有同类活动标签。旧报告把零值解释为“规则只测客户现场”，依据不足。</w:t>
      </w:r>
    </w:p>
    <w:p>
      <w:r>
        <w:rPr/>
        <w:t>因此，本版撤回“部署活动标签已经一致测量了客户现场或广义运维”的保证，也撤回依赖它的公司比较主结论。264/343及−0.81=+4.39−5.21个百分点只保留在历史测量附录，不参与本版实质推论。这是对结论的收口，没有暗中修改冻结数据，也没有把八条回查包装成全体部署编码验收。</w:t>
      </w:r>
    </w:p>
    <w:p>
      <w:pPr>
        <w:pStyle w:val="Caption"/>
      </w:pPr>
      <w:r>
        <w:rPr/>
        <w:t>数据与证据：tables/R_cross_function.csv；tables/R_joint_summary.csv；tables/V3_activity_rule_record_claim.csv；tables/V3_claim_disposition.csv。</w:t>
      </w:r>
    </w:p>
    <w:p>
      <w:pPr>
        <w:pStyle w:val="Heading1"/>
      </w:pPr>
      <w:r>
        <w:rPr/>
        <w:t>四 同职能的工作对象差异</w:t>
      </w:r>
    </w:p>
    <w:p>
      <w:r>
        <w:rPr/>
        <w:t>方向一固定四家公司、ML与软件两个职能，完整阅读84条广告。对象按原文多值记录，允许同一广告同时涉及模型、数据和训练系统；表内“涉及”包含明确承担与参与，不能与Q2较严格的本人职责格直接互换。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160"/>
        <w:gridCol w:w="1944"/>
        <w:gridCol w:w="2160"/>
        <w:gridCol w:w="2160"/>
      </w:tblGrid>
      <w:tr>
        <w:trPr>
          <w:cantSplit/>
          <w:tblHeader/>
        </w:trPr>
        <w:tc>
          <w:tcPr>
            <w:tcW w:type="dxa" w:w="1656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left"/>
            </w:pPr>
            <w:r>
              <w:rPr>
                <w:b/>
                <w:color w:val="FFFFFF"/>
                <w:sz w:val="20"/>
              </w:rPr>
              <w:t>公司</w:t>
            </w:r>
          </w:p>
        </w:tc>
        <w:tc>
          <w:tcPr>
            <w:tcW w:type="dxa" w:w="2160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ML模型</w:t>
            </w:r>
          </w:p>
        </w:tc>
        <w:tc>
          <w:tcPr>
            <w:tcW w:type="dxa" w:w="1944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ML数据</w:t>
            </w:r>
          </w:p>
        </w:tc>
        <w:tc>
          <w:tcPr>
            <w:tcW w:type="dxa" w:w="2160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软件机器人运行</w:t>
            </w:r>
          </w:p>
        </w:tc>
        <w:tc>
          <w:tcPr>
            <w:tcW w:type="dxa" w:w="2160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软件履单业务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AgiBot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12/12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4/12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4/7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0/7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Galbot</w:t>
            </w:r>
          </w:p>
        </w:tc>
        <w:tc>
          <w:tcPr>
            <w:tcW w:type="dxa" w:w="216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22/24</w:t>
            </w:r>
          </w:p>
        </w:tc>
        <w:tc>
          <w:tcPr>
            <w:tcW w:type="dxa" w:w="194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12/24</w:t>
            </w:r>
          </w:p>
        </w:tc>
        <w:tc>
          <w:tcPr>
            <w:tcW w:type="dxa" w:w="216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19/25</w:t>
            </w:r>
          </w:p>
        </w:tc>
        <w:tc>
          <w:tcPr>
            <w:tcW w:type="dxa" w:w="216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0/25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Dexterity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5/5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3/5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0/2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0/2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Nimble Robotics</w:t>
            </w:r>
          </w:p>
        </w:tc>
        <w:tc>
          <w:tcPr>
            <w:tcW w:type="dxa" w:w="216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3/3</w:t>
            </w:r>
          </w:p>
        </w:tc>
        <w:tc>
          <w:tcPr>
            <w:tcW w:type="dxa" w:w="194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3/3</w:t>
            </w:r>
          </w:p>
        </w:tc>
        <w:tc>
          <w:tcPr>
            <w:tcW w:type="dxa" w:w="216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4/6</w:t>
            </w:r>
          </w:p>
        </w:tc>
        <w:tc>
          <w:tcPr>
            <w:tcW w:type="dxa" w:w="216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2/6</w:t>
            </w:r>
          </w:p>
        </w:tc>
      </w:tr>
    </w:tbl>
    <w:p>
      <w:pPr>
        <w:spacing w:after="40"/>
      </w:pPr>
    </w:p>
    <w:p>
      <w:r>
        <w:rPr/>
        <w:t>智元与银河通用的ML广告中，模型、数据和训练工程经常共同出现；软件则有机器人运行时、内部基础设施与应用系统等不同对象。Nimble的软件出现履单业务对象；Dexterity的软件案例只有两条，不适合估计稳定的公司软件人才结构。机器人真机或物理现场对象还包括样机和实验室，不能全部解释为客户生产部署。</w:t>
      </w:r>
    </w:p>
    <w:p>
      <w:r>
        <w:rPr/>
        <w:t>产品归属方面，3条达到明确命名或直接连接标准，81条未知。经验年限明确写出39条，未明示45条。未知不表示没有产品归属，也不表示岗位是初级或资深。现有公司产品资料不能自动补上这条广告到产品的连接。</w:t>
      </w:r>
    </w:p>
    <w:p>
      <w:r>
        <w:rPr/>
        <w:t>我的判断是，工作对象比公司代表产品更接近这批资料的解释能力。它能说明同一主职能为何使用不同方法或工具；要解释具体客户、收入或交付模式对岗位的作用，仍需岗位与项目之间的直接证据。</w:t>
      </w:r>
    </w:p>
    <w:p>
      <w:pPr>
        <w:pStyle w:val="Caption"/>
      </w:pPr>
      <w:r>
        <w:rPr/>
        <w:t>数据与证据：tables/O4_company_role_object.csv；tables/O4_attribution_seniority_unknown.csv；tables/O2_evidence_long.csv。</w:t>
      </w:r>
    </w:p>
    <w:p>
      <w:pPr>
        <w:pStyle w:val="Heading1"/>
      </w:pPr>
      <w:r>
        <w:rPr/>
        <w:t>五 公司差异的算术分解</w:t>
      </w:r>
    </w:p>
    <w:p>
      <w:r>
        <w:rPr/>
        <w:t>比较固定为银河通用减Figure，在公司支持、制造质量供应链、ML、软件四个共同职能内计算工程活动率。先按各公司在共同范围内的职能份额加权，再把总差拆成“职能份额不同”与“同职能活动率不同”两部分；采用两家公司相应权重或活动率的平均值，两个分量与总差精确相加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2160"/>
        <w:gridCol w:w="2160"/>
        <w:gridCol w:w="2448"/>
      </w:tblGrid>
      <w:tr>
        <w:trPr>
          <w:cantSplit/>
          <w:tblHeader/>
        </w:trPr>
        <w:tc>
          <w:tcPr>
            <w:tcW w:type="dxa" w:w="3312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left"/>
            </w:pPr>
            <w:r>
              <w:rPr>
                <w:b/>
                <w:color w:val="FFFFFF"/>
                <w:sz w:val="20"/>
              </w:rPr>
              <w:t>情景</w:t>
            </w:r>
          </w:p>
        </w:tc>
        <w:tc>
          <w:tcPr>
            <w:tcW w:type="dxa" w:w="2160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总差百分点</w:t>
            </w:r>
          </w:p>
        </w:tc>
        <w:tc>
          <w:tcPr>
            <w:tcW w:type="dxa" w:w="2160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构成分量</w:t>
            </w:r>
          </w:p>
        </w:tc>
        <w:tc>
          <w:tcPr>
            <w:tcW w:type="dxa" w:w="2448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职能内分量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主范围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+11.10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+19.45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-8.35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去明确实习校招</w:t>
            </w:r>
          </w:p>
        </w:tc>
        <w:tc>
          <w:tcPr>
            <w:tcW w:type="dxa" w:w="216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+10.56</w:t>
            </w:r>
          </w:p>
        </w:tc>
        <w:tc>
          <w:tcPr>
            <w:tcW w:type="dxa" w:w="216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+21.08</w:t>
            </w:r>
          </w:p>
        </w:tc>
        <w:tc>
          <w:tcPr>
            <w:tcW w:type="dxa" w:w="244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-10.52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职责模板去重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+12.89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+19.43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-6.54</w:t>
            </w:r>
          </w:p>
        </w:tc>
      </w:tr>
    </w:tbl>
    <w:p>
      <w:pPr>
        <w:spacing w:after="40"/>
      </w:pPr>
    </w:p>
    <w:p>
      <w:r>
        <w:rPr/>
        <w:t>主范围中，银河通用工程活动率56.10%，Figure为45.00%。+19.45的构成分量表示，银河通用在这四类广告中给予工程活动率较高职能更大的权重；−8.35的职能内分量则指向相反方向。两部分互相抵消，不能说“构成解释了差异的百分之多少”而忽略另一部分。</w:t>
      </w:r>
    </w:p>
    <w:p>
      <w:r>
        <w:rPr/>
        <w:t>若四个职能直接等权，银河通用47.58%、Figure56.74%，排序改变。等权差−9.16与上述−8.35并不冲突：前者每类权重相同，后者使用两家公司平均职能份额。它们回答的是不同的标准化问题。</w:t>
      </w:r>
    </w:p>
    <w:p>
      <w:r>
        <w:rPr/>
        <w:t>这四类只覆盖银河通用活动可判断广告82/181、Figure 60/126，分别45.30%和47.62%。不能推广成全公司差异。去实习校招与职责模板去重后，两分量的相反方向保留；但固定来源质量方案排除了银河通用，比较记为NA，不能宣称通过这些来源敏感性检验。该分解没有控制资历、模板、地点或公司背景，更不是国家或业务模式的因果效应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2743758"/>
            <wp:docPr id="1" name="Picture 1" descr="工程活动差异分解" title="工程活动差异分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_decompos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743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/>
        <w:t>图1　银河通用减Figure的工程活动差异。共同职能固定，单位为百分点；分量是算术组成。</w:t>
      </w:r>
    </w:p>
    <w:p>
      <w:pPr>
        <w:pStyle w:val="Caption"/>
      </w:pPr>
      <w:r>
        <w:rPr/>
        <w:t>数据与证据：tables/D2_decomposition_summary.csv；tables/D2_decomposition_role_parts.csv。</w:t>
      </w:r>
    </w:p>
    <w:p>
      <w:pPr>
        <w:pStyle w:val="Heading1"/>
      </w:pPr>
      <w:r>
        <w:rPr/>
        <w:t>六 Q2的内容复核与测量修订</w:t>
      </w:r>
    </w:p>
    <w:p>
      <w:r>
        <w:rPr/>
        <w:t>本版在上一版基础上新增4,548条修订事务，涉及900条不同广告。事务包含定位补全、分支和要求语境调整、遗漏补入、任务修订，以及对前次修订的恢复；不能把事务数当成错误广告数。比较最终证据版本后，4,394条证据有实质字段变化或新增，涉及895条广告。</w:t>
      </w:r>
    </w:p>
    <w:p>
      <w:r>
        <w:rPr/>
        <w:t>主要问题是一般与优先要求混淆、资格证据错锚到职责、工具使用被记成开发工具本体、示例或任选被记成无条件，以及局部来源不足未影响相应分母。修订保留每个旧值、原文位置、理由和署名。两条E0107虽然阅读编号和正文相同，仍按不同岗位ID保存，未以阅读编号覆盖其中一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1656"/>
        <w:gridCol w:w="1656"/>
        <w:gridCol w:w="1656"/>
        <w:gridCol w:w="1656"/>
      </w:tblGrid>
      <w:tr>
        <w:trPr>
          <w:cantSplit/>
          <w:tblHeader/>
        </w:trPr>
        <w:tc>
          <w:tcPr>
            <w:tcW w:type="dxa" w:w="3456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left"/>
            </w:pPr>
            <w:r>
              <w:rPr>
                <w:b/>
                <w:color w:val="FFFFFF"/>
                <w:sz w:val="20"/>
              </w:rPr>
              <w:t>同口径指标</w:t>
            </w:r>
          </w:p>
        </w:tc>
        <w:tc>
          <w:tcPr>
            <w:tcW w:type="dxa" w:w="1656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阶段C</w:t>
            </w:r>
          </w:p>
        </w:tc>
        <w:tc>
          <w:tcPr>
            <w:tcW w:type="dxa" w:w="1656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grok首轮</w:t>
            </w:r>
          </w:p>
        </w:tc>
        <w:tc>
          <w:tcPr>
            <w:tcW w:type="dxa" w:w="1656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Astra上一版</w:t>
            </w:r>
          </w:p>
        </w:tc>
        <w:tc>
          <w:tcPr>
            <w:tcW w:type="dxa" w:w="1656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Astra本版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ML 训练推理系统 职责开发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81/156 U0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80/156 U0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80/156 U0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76/156 U0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ML 基础模型/VLA 职责开发</w:t>
            </w:r>
          </w:p>
        </w:tc>
        <w:tc>
          <w:tcPr>
            <w:tcW w:type="dxa" w:w="165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72/156 U0</w:t>
            </w:r>
          </w:p>
        </w:tc>
        <w:tc>
          <w:tcPr>
            <w:tcW w:type="dxa" w:w="165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67/156 U0</w:t>
            </w:r>
          </w:p>
        </w:tc>
        <w:tc>
          <w:tcPr>
            <w:tcW w:type="dxa" w:w="165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67/156 U0</w:t>
            </w:r>
          </w:p>
        </w:tc>
        <w:tc>
          <w:tcPr>
            <w:tcW w:type="dxa" w:w="165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49/154 U2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ML Python 一般要求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60/133 U23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60/135 U21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60/135 U21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60/133 U23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ML C++ 一般要求</w:t>
            </w:r>
          </w:p>
        </w:tc>
        <w:tc>
          <w:tcPr>
            <w:tcW w:type="dxa" w:w="165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16/133 U23</w:t>
            </w:r>
          </w:p>
        </w:tc>
        <w:tc>
          <w:tcPr>
            <w:tcW w:type="dxa" w:w="165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16/133 U23</w:t>
            </w:r>
          </w:p>
        </w:tc>
        <w:tc>
          <w:tcPr>
            <w:tcW w:type="dxa" w:w="165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16/133 U23</w:t>
            </w:r>
          </w:p>
        </w:tc>
        <w:tc>
          <w:tcPr>
            <w:tcW w:type="dxa" w:w="165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16/133 U23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软件 Linux 一般要求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70/177 U3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70/177 U3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70/177 U3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69/177 U3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软件 C++ 一般要求</w:t>
            </w:r>
          </w:p>
        </w:tc>
        <w:tc>
          <w:tcPr>
            <w:tcW w:type="dxa" w:w="165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42/150 U30</w:t>
            </w:r>
          </w:p>
        </w:tc>
        <w:tc>
          <w:tcPr>
            <w:tcW w:type="dxa" w:w="165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42/150 U30</w:t>
            </w:r>
          </w:p>
        </w:tc>
        <w:tc>
          <w:tcPr>
            <w:tcW w:type="dxa" w:w="165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42/150 U30</w:t>
            </w:r>
          </w:p>
        </w:tc>
        <w:tc>
          <w:tcPr>
            <w:tcW w:type="dxa" w:w="165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44/150 U30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控制 控制闭环 一般要求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未纳入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52/75 U0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51/75 U0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52/75 U0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部署现场 Python 一般要求</w:t>
            </w:r>
          </w:p>
        </w:tc>
        <w:tc>
          <w:tcPr>
            <w:tcW w:type="dxa" w:w="165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未纳入</w:t>
            </w:r>
          </w:p>
        </w:tc>
        <w:tc>
          <w:tcPr>
            <w:tcW w:type="dxa" w:w="165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11/78 U6</w:t>
            </w:r>
          </w:p>
        </w:tc>
        <w:tc>
          <w:tcPr>
            <w:tcW w:type="dxa" w:w="165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11/78 U6</w:t>
            </w:r>
          </w:p>
        </w:tc>
        <w:tc>
          <w:tcPr>
            <w:tcW w:type="dxa" w:w="165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11/78 U6</w:t>
            </w:r>
          </w:p>
        </w:tc>
      </w:tr>
    </w:tbl>
    <w:p>
      <w:pPr>
        <w:spacing w:after="40"/>
      </w:pPr>
    </w:p>
    <w:p>
      <w:r>
        <w:rPr/>
        <w:t>表中均为无条件格。ML基础模型/VLA开发的18条正例退出原格，主要转为参与协作、示例、责任或对象未解，以及训练基础设施所支持的模型对象；这不表示18条广告完全没有模型工作。当前49/154、U=2只回答严格本人开发且无条件的文本格，不能作为“全部模型研发需求”的比例。训练推理系统、Python和Linux等也有变化，幅度并不一致。</w:t>
      </w:r>
    </w:p>
    <w:p>
      <w:r>
        <w:rPr/>
        <w:t>控制闭环一般要求在上一版为51/75，本版为52/75；数值回到grok并不意味着未经复核地恢复整份旧报告。应以最终逐条证据为准。相反，ML Python一般无条件从60/135、U=21回到60/133、U=23，说明“未知更少”本身不构成质量改进。</w:t>
      </w:r>
    </w:p>
    <w:p>
      <w:r>
        <w:rPr/>
        <w:t>相同22语境口径下，本版40,722个整公司汇总格中，4,609格的计数、分母或门槛改变，其中4格门槛改变。修订影响集中在测量解释，不能当作企业需求的时间变化。C与Q2-v2.1目录不完全相同，只有可对齐条目才能比较。</w:t>
      </w:r>
    </w:p>
    <w:p>
      <w:pPr>
        <w:pStyle w:val="Caption"/>
      </w:pPr>
      <w:r>
        <w:rPr/>
        <w:t>数据与证据：tables/V3_key_results_version_chain.csv；tables/V3_incremental_change_axes.csv；tables/V3_revision_impact_v2_to_v3.csv；tables/Q3_astra_changes.csv。</w:t>
      </w:r>
    </w:p>
    <w:p>
      <w:pPr>
        <w:pStyle w:val="Heading1"/>
      </w:pPr>
      <w:r>
        <w:rPr/>
        <w:t>七 同任务中的技术提及与要求方式</w:t>
      </w:r>
    </w:p>
    <w:p>
      <w:pPr>
        <w:pStyle w:val="Heading2"/>
      </w:pPr>
      <w:r>
        <w:rPr/>
        <w:t>任务划分与两层指标</w:t>
      </w:r>
    </w:p>
    <w:p>
      <w:r>
        <w:rPr/>
        <w:t>任务按职责的主要交付和工作对象划分，不因为出现Python、C++或某工具就纳入。机器人模型要求本人训练或优化机器人策略/具身模型；训练基础设施另列。机器人运行软件交付运行时、中间件或机器人应用，普通业务后台和云界面另列。板级电路交付板卡、PCB、电源驱动等电路，单纯固件或线束另列。</w:t>
      </w:r>
    </w:p>
    <w:p>
      <w:r>
        <w:rPr/>
        <w:t>主分析一条广告只有一个主任务。最终三个层分别105、87、56条整公司广告；166条广告另有次任务。N0353的主体是业务场景模型，机器人仅在优先背景中出现，因此从机器人模型主层移出。主次任务同时纳入只用于另列敏感性，按广告去重。任务层提高可比性，但没有消除具体对象、资历和模板的差异。</w:t>
      </w:r>
    </w:p>
    <w:p>
      <w:r>
        <w:rPr/>
        <w:t>第一层统计技术是否可辨识地出现在本人职责或资格要求中，并按广告去重。明确任选、示例和C/C++等分支未解的写法仍表示术语出现；对象本身未解的UNKNOWN不计明确提及，纯背景或协作联系另列。第二层在这些提及广告中拆看职责、明确必备、一般和优先。各方式可能重叠，不能加成100%；无条件要求仍单独查原22格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1800"/>
        <w:gridCol w:w="1296"/>
        <w:gridCol w:w="1296"/>
        <w:gridCol w:w="1296"/>
        <w:gridCol w:w="1296"/>
      </w:tblGrid>
      <w:tr>
        <w:trPr>
          <w:cantSplit/>
          <w:tblHeader/>
        </w:trPr>
        <w:tc>
          <w:tcPr>
            <w:tcW w:type="dxa" w:w="3096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left"/>
            </w:pPr>
            <w:r>
              <w:rPr>
                <w:b/>
                <w:color w:val="FFFFFF"/>
                <w:sz w:val="20"/>
              </w:rPr>
              <w:t>任务与条目</w:t>
            </w:r>
          </w:p>
        </w:tc>
        <w:tc>
          <w:tcPr>
            <w:tcW w:type="dxa" w:w="1800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第一层提及</w:t>
            </w:r>
          </w:p>
        </w:tc>
        <w:tc>
          <w:tcPr>
            <w:tcW w:type="dxa" w:w="1296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1296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明确必备</w:t>
            </w:r>
          </w:p>
        </w:tc>
        <w:tc>
          <w:tcPr>
            <w:tcW w:type="dxa" w:w="1296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一般</w:t>
            </w:r>
          </w:p>
        </w:tc>
        <w:tc>
          <w:tcPr>
            <w:tcW w:type="dxa" w:w="1296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优先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机器人模型 Python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73/105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65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机器人模型 PyTorch</w:t>
            </w:r>
          </w:p>
        </w:tc>
        <w:tc>
          <w:tcPr>
            <w:tcW w:type="dxa" w:w="180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83/105</w:t>
            </w:r>
          </w:p>
        </w:tc>
        <w:tc>
          <w:tcPr>
            <w:tcW w:type="dxa" w:w="129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29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29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75</w:t>
            </w:r>
          </w:p>
        </w:tc>
        <w:tc>
          <w:tcPr>
            <w:tcW w:type="dxa" w:w="129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机器人运行软件 C++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80/87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73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机器人运行软件 Linux</w:t>
            </w:r>
          </w:p>
        </w:tc>
        <w:tc>
          <w:tcPr>
            <w:tcW w:type="dxa" w:w="180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52/87</w:t>
            </w:r>
          </w:p>
        </w:tc>
        <w:tc>
          <w:tcPr>
            <w:tcW w:type="dxa" w:w="129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129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29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type="dxa" w:w="129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板级电路 Altium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24/56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板级电路 电磁兼容与信号电源完整性</w:t>
            </w:r>
          </w:p>
        </w:tc>
        <w:tc>
          <w:tcPr>
            <w:tcW w:type="dxa" w:w="180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36/56</w:t>
            </w:r>
          </w:p>
        </w:tc>
        <w:tc>
          <w:tcPr>
            <w:tcW w:type="dxa" w:w="129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type="dxa" w:w="129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29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29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11</w:t>
            </w:r>
          </w:p>
        </w:tc>
      </w:tr>
    </w:tbl>
    <w:p>
      <w:pPr>
        <w:spacing w:after="40"/>
      </w:pPr>
    </w:p>
    <w:p>
      <w:r>
        <w:rPr/>
        <w:t>第二层各列是提及广告数，分母为该行第一层的正例数。例如机器人模型Python有73条相关提及，其中65条出现一般要求、6条出现优先、2条出现明确必备、3条出现职责，类别有重叠。运行软件C++有80条相关提及，其中25条含某处未解分支；不能由80/87推出80条都无条件要求C++。</w:t>
      </w:r>
    </w:p>
    <w:p>
      <w:pPr>
        <w:pStyle w:val="Heading2"/>
      </w:pPr>
      <w:r>
        <w:rPr/>
        <w:t>机器人模型中的Python差异仍可见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1944"/>
        <w:gridCol w:w="1800"/>
        <w:gridCol w:w="1584"/>
        <w:gridCol w:w="1800"/>
      </w:tblGrid>
      <w:tr>
        <w:trPr>
          <w:cantSplit/>
          <w:tblHeader/>
        </w:trPr>
        <w:tc>
          <w:tcPr>
            <w:tcW w:type="dxa" w:w="2952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left"/>
            </w:pPr>
            <w:r>
              <w:rPr>
                <w:b/>
                <w:color w:val="FFFFFF"/>
                <w:sz w:val="20"/>
              </w:rPr>
              <w:t>任务与条目</w:t>
            </w:r>
          </w:p>
        </w:tc>
        <w:tc>
          <w:tcPr>
            <w:tcW w:type="dxa" w:w="1944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公司</w:t>
            </w:r>
          </w:p>
        </w:tc>
        <w:tc>
          <w:tcPr>
            <w:tcW w:type="dxa" w:w="1800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技术提及</w:t>
            </w:r>
          </w:p>
        </w:tc>
        <w:tc>
          <w:tcPr>
            <w:tcW w:type="dxa" w:w="1584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一般无条件</w:t>
            </w:r>
          </w:p>
        </w:tc>
        <w:tc>
          <w:tcPr>
            <w:tcW w:type="dxa" w:w="1800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该格未知界限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机器人模型 Python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Galbot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14/18 77.8%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12/16 U2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66.7%—77.8%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机器人模型 Python</w:t>
            </w:r>
          </w:p>
        </w:tc>
        <w:tc>
          <w:tcPr>
            <w:tcW w:type="dxa" w:w="194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X Square</w:t>
            </w:r>
          </w:p>
        </w:tc>
        <w:tc>
          <w:tcPr>
            <w:tcW w:type="dxa" w:w="180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10/21 47.6%</w:t>
            </w:r>
          </w:p>
        </w:tc>
        <w:tc>
          <w:tcPr>
            <w:tcW w:type="dxa" w:w="158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3/14 U7</w:t>
            </w:r>
          </w:p>
        </w:tc>
        <w:tc>
          <w:tcPr>
            <w:tcW w:type="dxa" w:w="180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14.3%—47.6%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机器人运行软件 C++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Galbot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14/16 87.5%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9/11 U5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56.3%—87.5%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机器人运行软件 C++</w:t>
            </w:r>
          </w:p>
        </w:tc>
        <w:tc>
          <w:tcPr>
            <w:tcW w:type="dxa" w:w="194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X Square</w:t>
            </w:r>
          </w:p>
        </w:tc>
        <w:tc>
          <w:tcPr>
            <w:tcW w:type="dxa" w:w="180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9/10 90.0%</w:t>
            </w:r>
          </w:p>
        </w:tc>
        <w:tc>
          <w:tcPr>
            <w:tcW w:type="dxa" w:w="158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3/4 U6</w:t>
            </w:r>
          </w:p>
        </w:tc>
        <w:tc>
          <w:tcPr>
            <w:tcW w:type="dxa" w:w="180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30.0%—90.0%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机器人运行软件 C++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Field AI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6/8 75.0%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6/8 U0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75.0%—75.0%</w:t>
            </w:r>
          </w:p>
        </w:tc>
      </w:tr>
    </w:tbl>
    <w:p>
      <w:pPr>
        <w:spacing w:after="40"/>
      </w:pPr>
    </w:p>
    <w:p>
      <w:r>
        <w:rPr/>
        <w:t>银河通用机器人模型Python提及14/18，自变量10/21，分别77.8%与47.6%。一般无条件格为12/16、U=2与3/14、U=7。在只改变已识别未知的前提下，该格界限66.7%—77.8%与14.3%—47.6%不重叠。改成不限要求方式的术语提及后，差距仍约30.2个百分点，但小于只看一般无条件时的53.6个百分点。</w:t>
      </w:r>
    </w:p>
    <w:p>
      <w:r>
        <w:rPr/>
        <w:t>这组比较不能全部归结为一般与优先段落偏好：两家这部分Python提及都写在一般要求中，差别主要还涉及是否提及，以及并列或斜线关系能否确认为无条件。N0098明确“精通Python”，而自变量一些广告使用多语言斜线。未知界限不重叠仅说明既有U赋值不能抹去方向；未发现的漏判、任务细分和模板差异仍可能影响解释。</w:t>
      </w:r>
    </w:p>
    <w:p>
      <w:pPr>
        <w:pStyle w:val="Heading2"/>
      </w:pPr>
      <w:r>
        <w:rPr/>
        <w:t>运行软件中共同表达的语言能力</w:t>
      </w:r>
    </w:p>
    <w:p>
      <w:r>
        <w:rPr/>
        <w:t>银河通用与自变量C++提及分别14/16和9/10，即87.5%与90.0%；一般无条件格为9/11、U=5与3/4、U=6。其未知界限56.3%—87.5%和30.0%—90.0%大幅重叠。对这两家公司，现有证据更支持“C++在相近运行软件任务中都经常被提到”，不足以排列谁更需要C++。</w:t>
      </w:r>
    </w:p>
    <w:p>
      <w:r>
        <w:rPr/>
        <w:t>Field AI点值6/8含一般要求，样本小于10条；它只能作为公司点值，不宜与大公司样本构成稳定排名。职责提及、一般资格和优先条件的交叠还说明，技术出现并非一种单一要求强度。</w:t>
      </w:r>
    </w:p>
    <w:p>
      <w:pPr>
        <w:pStyle w:val="Heading2"/>
      </w:pPr>
      <w:r>
        <w:rPr/>
        <w:t>板级电路中的工具与工程方法</w:t>
      </w:r>
    </w:p>
    <w:p>
      <w:r>
        <w:rPr/>
        <w:t>板级电路任务里，Altium提及24/56，电磁兼容与信号/电源完整性36/56。前者主要出现在资格要求，后者在职责中27条、一般要求20条、优先条件11条，方式可重叠。非算法工作不能只用编程语言衡量；设计工具与验证方法提供了不同的能力线索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160"/>
        <w:gridCol w:w="1944"/>
        <w:gridCol w:w="2160"/>
        <w:gridCol w:w="2160"/>
      </w:tblGrid>
      <w:tr>
        <w:trPr>
          <w:cantSplit/>
          <w:tblHeader/>
        </w:trPr>
        <w:tc>
          <w:tcPr>
            <w:tcW w:type="dxa" w:w="1656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left"/>
            </w:pPr>
            <w:r>
              <w:rPr>
                <w:b/>
                <w:color w:val="FFFFFF"/>
                <w:sz w:val="20"/>
              </w:rPr>
              <w:t>公司</w:t>
            </w:r>
          </w:p>
        </w:tc>
        <w:tc>
          <w:tcPr>
            <w:tcW w:type="dxa" w:w="2160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任务广告数</w:t>
            </w:r>
          </w:p>
        </w:tc>
        <w:tc>
          <w:tcPr>
            <w:tcW w:type="dxa" w:w="1944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Altium提及</w:t>
            </w:r>
          </w:p>
        </w:tc>
        <w:tc>
          <w:tcPr>
            <w:tcW w:type="dxa" w:w="2160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电磁及完整性提及</w:t>
            </w:r>
          </w:p>
        </w:tc>
        <w:tc>
          <w:tcPr>
            <w:tcW w:type="dxa" w:w="2160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解释级别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Apptronik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7/12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9/12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样本点值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X Square</w:t>
            </w:r>
          </w:p>
        </w:tc>
        <w:tc>
          <w:tcPr>
            <w:tcW w:type="dxa" w:w="216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94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0/8</w:t>
            </w:r>
          </w:p>
        </w:tc>
        <w:tc>
          <w:tcPr>
            <w:tcW w:type="dxa" w:w="216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3/8</w:t>
            </w:r>
          </w:p>
        </w:tc>
        <w:tc>
          <w:tcPr>
            <w:tcW w:type="dxa" w:w="216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小样本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Galaxea AI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2/3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1/3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小样本</w:t>
            </w:r>
          </w:p>
        </w:tc>
      </w:tr>
    </w:tbl>
    <w:p>
      <w:pPr>
        <w:spacing w:after="40"/>
      </w:pPr>
    </w:p>
    <w:p>
      <w:r>
        <w:rPr/>
        <w:t>这些公司沿用此前按广告覆盖选出的观察对象。Apptronik的Altium一般提及7条，但无条件只有1条，其余主要是工具示例或可替代选项；不能把7条都写成必须掌握Altium。自变量在该任务层未记Altium正例，也不表示不用EDA工具。星海图仅3条，应阅读具体职责，不能据比例推公司技术路线。</w:t>
      </w:r>
    </w:p>
    <w:p>
      <w:pPr>
        <w:pStyle w:val="Caption"/>
      </w:pPr>
      <w:r>
        <w:rPr/>
        <w:t>数据与证据：tables/V3_two_layer_aggregates.csv；tables/V3_two_layer_company_points.csv；tables/V3_two_layer_evidence.csv；tables/Q4_task_company_points_final.csv。</w:t>
      </w:r>
    </w:p>
    <w:p>
      <w:pPr>
        <w:pStyle w:val="Heading1"/>
      </w:pPr>
      <w:r>
        <w:rPr/>
        <w:t>八 哪些结论对分析选择敏感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2880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left"/>
            </w:pPr>
            <w:r>
              <w:rPr>
                <w:b/>
                <w:color w:val="FFFFFF"/>
                <w:sz w:val="20"/>
              </w:rPr>
              <w:t>任务与条目</w:t>
            </w:r>
          </w:p>
        </w:tc>
        <w:tc>
          <w:tcPr>
            <w:tcW w:type="dxa" w:w="1800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主任务</w:t>
            </w:r>
          </w:p>
        </w:tc>
        <w:tc>
          <w:tcPr>
            <w:tcW w:type="dxa" w:w="1800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加次任务</w:t>
            </w:r>
          </w:p>
        </w:tc>
        <w:tc>
          <w:tcPr>
            <w:tcW w:type="dxa" w:w="1800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职责模板去重</w:t>
            </w:r>
          </w:p>
        </w:tc>
        <w:tc>
          <w:tcPr>
            <w:tcW w:type="dxa" w:w="1800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去实习校招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机器人模型 Python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73/105 69.5%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73/105 69.5%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66/98 67.3%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64/92 69.6%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机器人运行软件 C++</w:t>
            </w:r>
          </w:p>
        </w:tc>
        <w:tc>
          <w:tcPr>
            <w:tcW w:type="dxa" w:w="180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80/87 92.0%</w:t>
            </w:r>
          </w:p>
        </w:tc>
        <w:tc>
          <w:tcPr>
            <w:tcW w:type="dxa" w:w="180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82/92 89.1%</w:t>
            </w:r>
          </w:p>
        </w:tc>
        <w:tc>
          <w:tcPr>
            <w:tcW w:type="dxa" w:w="180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78/85 91.8%</w:t>
            </w:r>
          </w:p>
        </w:tc>
        <w:tc>
          <w:tcPr>
            <w:tcW w:type="dxa" w:w="180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75/82 91.5%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板级电路 Altium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24/56 42.9%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26/62 41.9%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24/53 45.3%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19/50 38.0%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板级电路 电磁兼容与信号电源完整性</w:t>
            </w:r>
          </w:p>
        </w:tc>
        <w:tc>
          <w:tcPr>
            <w:tcW w:type="dxa" w:w="180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36/56 64.3%</w:t>
            </w:r>
          </w:p>
        </w:tc>
        <w:tc>
          <w:tcPr>
            <w:tcW w:type="dxa" w:w="180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42/62 67.7%</w:t>
            </w:r>
          </w:p>
        </w:tc>
        <w:tc>
          <w:tcPr>
            <w:tcW w:type="dxa" w:w="180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34/53 64.2%</w:t>
            </w:r>
          </w:p>
        </w:tc>
        <w:tc>
          <w:tcPr>
            <w:tcW w:type="dxa" w:w="180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34/50 68.0%</w:t>
            </w:r>
          </w:p>
        </w:tc>
      </w:tr>
    </w:tbl>
    <w:p>
      <w:pPr>
        <w:spacing w:after="40"/>
      </w:pPr>
    </w:p>
    <w:p>
      <w:r>
        <w:rPr/>
        <w:t>在这些预定情景下，运行软件C++的高提及保持；板级电路Altium比例有所变化，不能将一个点值视为固定总体参数。职责模板去重仅在同公司同职能、职责文本归一空白后完全相同时保留一条；不同资格和不同岗位ID仍可能真实存在，因此它是敏感性方案，不替代主样本。去校招实习只排除明示受众，不把没写年限当成应届或有经验岗位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2160"/>
        <w:gridCol w:w="2160"/>
        <w:gridCol w:w="2448"/>
      </w:tblGrid>
      <w:tr>
        <w:trPr>
          <w:cantSplit/>
          <w:tblHeader/>
        </w:trPr>
        <w:tc>
          <w:tcPr>
            <w:tcW w:type="dxa" w:w="3312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left"/>
            </w:pPr>
            <w:r>
              <w:rPr>
                <w:b/>
                <w:color w:val="FFFFFF"/>
                <w:sz w:val="20"/>
              </w:rPr>
              <w:t>第一层提及指标</w:t>
            </w:r>
          </w:p>
        </w:tc>
        <w:tc>
          <w:tcPr>
            <w:tcW w:type="dxa" w:w="2160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去一家公司的比例范围</w:t>
            </w:r>
          </w:p>
        </w:tc>
        <w:tc>
          <w:tcPr>
            <w:tcW w:type="dxa" w:w="2160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失去门槛次数</w:t>
            </w:r>
          </w:p>
        </w:tc>
        <w:tc>
          <w:tcPr>
            <w:tcW w:type="dxa" w:w="2448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最大公司正例贡献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机器人模型 Python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67.0%—75.0%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19.2%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机器人运行软件 C++</w:t>
            </w:r>
          </w:p>
        </w:tc>
        <w:tc>
          <w:tcPr>
            <w:tcW w:type="dxa" w:w="216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91.3%—93.7%</w:t>
            </w:r>
          </w:p>
        </w:tc>
        <w:tc>
          <w:tcPr>
            <w:tcW w:type="dxa" w:w="216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44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17.5%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板级电路 Altium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38.5%—50.0%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29.2%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板级电路 电磁兼容与信号电源完整性</w:t>
            </w:r>
          </w:p>
        </w:tc>
        <w:tc>
          <w:tcPr>
            <w:tcW w:type="dxa" w:w="216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61.4%—68.8%</w:t>
            </w:r>
          </w:p>
        </w:tc>
        <w:tc>
          <w:tcPr>
            <w:tcW w:type="dxa" w:w="216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44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25.0%</w:t>
            </w:r>
          </w:p>
        </w:tc>
      </w:tr>
    </w:tbl>
    <w:p>
      <w:pPr>
        <w:spacing w:after="40"/>
      </w:pPr>
    </w:p>
    <w:p>
      <w:r>
        <w:rPr/>
        <w:t>门槛与稳定性不同。例如部署与现场服务职能的Python一般无条件为11/78、U=6；去掉Field AI后为4/65，仍有17家有效公司，继续达到组门槛。广告加权由14.1%降至6.2%，公司等权由15.0%降至12.8%。应说它对单家公司广告贡献敏感，不能继续沿用“去掉Field后不能比较”的旧说法。这个职能不是前述已撤回的部署活动标签。</w:t>
      </w:r>
    </w:p>
    <w:p>
      <w:pPr>
        <w:pStyle w:val="Heading2"/>
      </w:pPr>
      <w:r>
        <w:rPr/>
        <w:t>责任边界的敏感性</w:t>
      </w:r>
    </w:p>
    <w:p>
      <w:r>
        <w:rPr/>
        <w:t>“参与、协助、共同开发”与独立承担在本版保留不同关系，但语言习惯不等于真实工作量。机器人模型层的基础模型/VLA本人职责提及54条；若把被编码为参与、协作或支持的联系也纳入，达到66条，多出12条。这个宽情景是联系上界，可能包括协作对象，不能直接解释为本人能力。报告同时保留两种数值，避免把严格责任规则造成的下降误读为研发消失。</w:t>
      </w:r>
    </w:p>
    <w:p>
      <w:r>
        <w:rPr/>
        <w:t>不同层次的界限不能互相替代：文本未知界限处理已识别U；来源方案处理文本可用性；去模板与去公司处理观察权重；责任宽情景处理关系定义。它们都不能证明没有未发现的语义错误，更不能替代外部独立验证。</w:t>
      </w:r>
    </w:p>
    <w:p>
      <w:pPr>
        <w:pStyle w:val="Caption"/>
      </w:pPr>
      <w:r>
        <w:rPr/>
        <w:t>数据与证据：tables/V3_two_layer_leave_one_company_out.csv；tables/V3_two_layer_membership.csv；tables/Q4_leave_one_company_out_final.csv；tables/Q4_dedup_membership.csv。</w:t>
      </w:r>
    </w:p>
    <w:p>
      <w:pPr>
        <w:pStyle w:val="Heading1"/>
      </w:pPr>
      <w:r>
        <w:rPr/>
        <w:t>九 对审核意见的采纳与最终验收</w:t>
      </w:r>
    </w:p>
    <w:p>
      <w:r>
        <w:rPr/>
        <w:t>本版采纳了审核中最影响研究成立的意见：把活动规则、具体记录与旧结论连起来；展示修订如何改变研究结论；说明任务分组独立于比较工具；完成原先未完成的复核队列；再把技术提及与要求方式分层比较。对“先缩小Q2发布范围”的建议，本轮依用户授权保留全17职能并完成预设工作，没有以缩小范围替代队列执行。</w:t>
      </w:r>
    </w:p>
    <w:p>
      <w:r>
        <w:rPr/>
        <w:t>原样本与主分类保持完成；合并裁决、84条对象研究、工程活动分解可进入综合主结果。部署活动相关实质结论已经撤回。Q2按340条全文抽样、1,208条强制边界队列和已知规则回查的范围完成内容收尾；全部17职能仍以探索性结果发表，不声称全部逐项双重验证。</w:t>
      </w:r>
    </w:p>
    <w:p>
      <w:r>
        <w:rPr/>
        <w:t>程序验收覆盖了4,402,134个状态格的独立重建、汇总与公司点值的独立矩阵复算，以及两层提及统计的独立SQL去重核验。SOURCE_EXCLUDED已在真实数据上物化，并检查特定条目、全适用条目、受影响语境和正例优先等路径。数值正确只保证当前编码被正确计算。</w:t>
      </w:r>
    </w:p>
    <w:p>
      <w:r>
        <w:rPr/>
        <w:t>局部来源限制涉及3条广告，证据冲突还可能影响单项判断。例如N1031的企业应用广告夹有制造和工装验证职责，受影响条目保留未知，未把它解释为已确认的跨职能能力。冻结输入909文件、原grok提交和旧Astra封存交付另有哈希保护检查；新稿与旧稿分别存放。</w:t>
      </w:r>
    </w:p>
    <w:p>
      <w:pPr>
        <w:pStyle w:val="Caption"/>
      </w:pPr>
      <w:r>
        <w:rPr/>
        <w:t>数据与证据：verification/V3_independent_state_resolution.json；verification/astra_independent_numeric.json；verification/V3_two_layer_independent_sql.json；verification/astra_isolated_reproduction.json；verification/V3_protected_inputs.json。</w:t>
      </w:r>
    </w:p>
    <w:p>
      <w:pPr>
        <w:pStyle w:val="Heading1"/>
      </w:pPr>
      <w:r>
        <w:rPr/>
        <w:t>十 当前进度与后续研究选择</w:t>
      </w:r>
    </w:p>
    <w:p>
      <w:r>
        <w:rPr/>
        <w:t>本轮授权的六步研究、M5规定复核与M6计算及报告交付均已完成。项目已具备一份可阅读、可追溯、可复算的综合研究稿。旧347条Astra首轮署名和grok4.6接续署名保留；本版复核、分析和报告署名Astra。</w:t>
      </w:r>
    </w:p>
    <w:p>
      <w:r>
        <w:rPr/>
        <w:t>仍未建立的是行业总体推断、真实招聘需求或人数测量、国家效应、业务模式因果效应和独立人工双编码。这些不是本报告已经做到的能力，也不应在下一轮简单通过增加图表补成。新增研究应由新问题决定。</w:t>
      </w:r>
    </w:p>
    <w:p>
      <w:r>
        <w:rPr/>
        <w:t>若继续使用现有数据，优先方向是把部署与维护重新定义为数字系统、物理样机、客户生产现场及持续运维责任，另立版本，系统回查正例和潜在漏例。这会修复一个明确的测量缺口；目前无需为此重开主职能分类。第二个可选方向是固定任务层后考察资历、模板和要求方式，但只在来源和样本允许时比较，不强行加入复杂回归。</w:t>
      </w:r>
    </w:p>
    <w:p>
      <w:r>
        <w:rPr/>
        <w:t>若扩公司，应先明确比较对象。当前整公司供给分组是整机产品18家、跨本体模型3家、运营服务1家和组件系统组合1家；后两类无法形成独立公司间的组内分布。要研究供给类型差异，应优先补这些稀缺类型，并统一公司或团队切分规则。要研究具身特色，则先设计相近非具身岗位对照。20加20可作为招募目标，但不是证明研究有效的条件。</w:t>
      </w:r>
    </w:p>
    <w:p>
      <w:r>
        <w:rPr/>
        <w:t>我最终保留的研究判断是：先识别岗位实际面对的工作，再比较它如何表达技术责任与资格。公司整体比例有描述价值，只有连同职能权重、任务对象、要求方式和未知边界一起看，才能得到有分寸的公司差异判断。</w:t>
      </w:r>
    </w:p>
    <w:p>
      <w:pPr>
        <w:pStyle w:val="Heading1"/>
      </w:pPr>
      <w:r>
        <w:rPr/>
        <w:t>附录一 全17职能覆盖与复核范围</w:t>
      </w:r>
    </w:p>
    <w:p>
      <w:r>
        <w:rPr/>
        <w:t>表内全文、边界、未选复核三列互斥，合计为全24主体该职能数量；整公司广告数另列。边界复核读取全部已编码或候选证据的相关段落、邻接语境和标题，未显示的正文不冒称已读。没有被本轮选中二次复核的347条仍保留首轮全文编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1310"/>
        <w:gridCol w:w="1310"/>
        <w:gridCol w:w="1310"/>
        <w:gridCol w:w="1310"/>
        <w:gridCol w:w="1310"/>
      </w:tblGrid>
      <w:tr>
        <w:trPr>
          <w:cantSplit/>
          <w:tblHeader/>
        </w:trPr>
        <w:tc>
          <w:tcPr>
            <w:tcW w:type="dxa" w:w="3528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left"/>
            </w:pPr>
            <w:r>
              <w:rPr>
                <w:b/>
                <w:color w:val="FFFFFF"/>
                <w:sz w:val="20"/>
              </w:rPr>
              <w:t>具体职能</w:t>
            </w:r>
          </w:p>
        </w:tc>
        <w:tc>
          <w:tcPr>
            <w:tcW w:type="dxa" w:w="1310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全体广告</w:t>
            </w:r>
          </w:p>
        </w:tc>
        <w:tc>
          <w:tcPr>
            <w:tcW w:type="dxa" w:w="1310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整公司广告</w:t>
            </w:r>
          </w:p>
        </w:tc>
        <w:tc>
          <w:tcPr>
            <w:tcW w:type="dxa" w:w="1310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全文复核</w:t>
            </w:r>
          </w:p>
        </w:tc>
        <w:tc>
          <w:tcPr>
            <w:tcW w:type="dxa" w:w="1310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边界复核</w:t>
            </w:r>
          </w:p>
        </w:tc>
        <w:tc>
          <w:tcPr>
            <w:tcW w:type="dxa" w:w="1310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未选二次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制造、质量与供应链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215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214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53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146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16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软件与平台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181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180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44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117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ML/AI工程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159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156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44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96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19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公司支持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132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132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43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60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硬件与电气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126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123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95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商务与客户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117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117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70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产品与项目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106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106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34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43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机械与机电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91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89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36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部署与现场服务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85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84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43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21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控制与规划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75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75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9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数据与分析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72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70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33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19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仿真、评测与测量工具链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62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14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感知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47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47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系统工程与跨域集成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工业与体验设计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研究科学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31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机器人操作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31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</w:t>
            </w:r>
          </w:p>
        </w:tc>
      </w:tr>
    </w:tbl>
    <w:p>
      <w:pPr>
        <w:spacing w:after="40"/>
      </w:pPr>
    </w:p>
    <w:p>
      <w:r>
        <w:rPr/>
        <w:t>总计：全体1,576，整公司1,552；全文469，边界760，未选二次347。全文样本含此前181条和本版新增288条；预设抽样与强制队列重叠，不能相加为1,548条独立复核。全文阅读还包含无常见关键词、非英语和局部来源问题的定向记录，不是随机准确率样本。</w:t>
      </w:r>
    </w:p>
    <w:p>
      <w:pPr>
        <w:pStyle w:val="Caption"/>
      </w:pPr>
      <w:r>
        <w:rPr/>
        <w:t>数据与证据：tables/V3_review_coverage_final.csv；verification/V3_review_progress.json。</w:t>
      </w:r>
    </w:p>
    <w:p>
      <w:pPr>
        <w:pStyle w:val="Heading1"/>
      </w:pPr>
      <w:r>
        <w:rPr/>
        <w:t>附录二 各职能的探索性指标入口</w:t>
      </w:r>
    </w:p>
    <w:p>
      <w:r>
        <w:rPr/>
        <w:t>下表每职能从具名工具、工程方法和操作资格中，按一般无条件正例数列最多两项，避免用职能定义本身制造高比例发现。它只是浏览入口；不同职能的清单不同，不能跨行排列技能含量。全部条目、语境、公司点值和证据见离线查询页。组比例门槛与公司小样本标记仍逐格适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2088"/>
        <w:gridCol w:w="1440"/>
        <w:gridCol w:w="936"/>
        <w:gridCol w:w="1152"/>
        <w:gridCol w:w="1440"/>
      </w:tblGrid>
      <w:tr>
        <w:trPr>
          <w:cantSplit/>
          <w:tblHeader/>
        </w:trPr>
        <w:tc>
          <w:tcPr>
            <w:tcW w:type="dxa" w:w="3024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left"/>
            </w:pPr>
            <w:r>
              <w:rPr>
                <w:b/>
                <w:color w:val="FFFFFF"/>
                <w:sz w:val="20"/>
              </w:rPr>
              <w:t>具体职能</w:t>
            </w:r>
          </w:p>
        </w:tc>
        <w:tc>
          <w:tcPr>
            <w:tcW w:type="dxa" w:w="2088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一般无条件条目</w:t>
            </w:r>
          </w:p>
        </w:tc>
        <w:tc>
          <w:tcPr>
            <w:tcW w:type="dxa" w:w="1440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P/N</w:t>
            </w:r>
          </w:p>
        </w:tc>
        <w:tc>
          <w:tcPr>
            <w:tcW w:type="dxa" w:w="936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U</w:t>
            </w:r>
          </w:p>
        </w:tc>
        <w:tc>
          <w:tcPr>
            <w:tcW w:type="dxa" w:w="1152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有效公司</w:t>
            </w:r>
          </w:p>
        </w:tc>
        <w:tc>
          <w:tcPr>
            <w:tcW w:type="dxa" w:w="1440"/>
            <w:vAlign w:val="center"/>
            <w:shd w:fill="234E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before="80" w:after="80" w:line="264" w:lineRule="auto"/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制造、质量与供应链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采购与供应商流程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22/214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制造、质量与供应链</w:t>
            </w:r>
          </w:p>
        </w:tc>
        <w:tc>
          <w:tcPr>
            <w:tcW w:type="dxa" w:w="208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加工与成型工艺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20/214</w:t>
            </w:r>
          </w:p>
        </w:tc>
        <w:tc>
          <w:tcPr>
            <w:tcW w:type="dxa" w:w="93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软件与平台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Linux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69/177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软件与平台</w:t>
            </w:r>
          </w:p>
        </w:tc>
        <w:tc>
          <w:tcPr>
            <w:tcW w:type="dxa" w:w="208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C++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44/150</w:t>
            </w:r>
          </w:p>
        </w:tc>
        <w:tc>
          <w:tcPr>
            <w:tcW w:type="dxa" w:w="93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15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ML/AI工程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Python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60/133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ML/AI工程</w:t>
            </w:r>
          </w:p>
        </w:tc>
        <w:tc>
          <w:tcPr>
            <w:tcW w:type="dxa" w:w="208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PyTorch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27/144</w:t>
            </w:r>
          </w:p>
        </w:tc>
        <w:tc>
          <w:tcPr>
            <w:tcW w:type="dxa" w:w="93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15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公司支持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招聘与人力流程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28/132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公司支持</w:t>
            </w:r>
          </w:p>
        </w:tc>
        <w:tc>
          <w:tcPr>
            <w:tcW w:type="dxa" w:w="208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会计财税与核算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22/132</w:t>
            </w:r>
          </w:p>
        </w:tc>
        <w:tc>
          <w:tcPr>
            <w:tcW w:type="dxa" w:w="93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硬件与电气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PCB设计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36/123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硬件与电气</w:t>
            </w:r>
          </w:p>
        </w:tc>
        <w:tc>
          <w:tcPr>
            <w:tcW w:type="dxa" w:w="208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电磁兼容与信号电源完整性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25/123</w:t>
            </w:r>
          </w:p>
        </w:tc>
        <w:tc>
          <w:tcPr>
            <w:tcW w:type="dxa" w:w="93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商务与客户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销售与客户经营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31/117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商务与客户</w:t>
            </w:r>
          </w:p>
        </w:tc>
        <w:tc>
          <w:tcPr>
            <w:tcW w:type="dxa" w:w="208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营销内容与传播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30/117</w:t>
            </w:r>
          </w:p>
        </w:tc>
        <w:tc>
          <w:tcPr>
            <w:tcW w:type="dxa" w:w="93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产品与项目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项目计划与风险管理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23/106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产品与项目</w:t>
            </w:r>
          </w:p>
        </w:tc>
        <w:tc>
          <w:tcPr>
            <w:tcW w:type="dxa" w:w="208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财务建模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2/106</w:t>
            </w:r>
          </w:p>
        </w:tc>
        <w:tc>
          <w:tcPr>
            <w:tcW w:type="dxa" w:w="93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机械与机电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加工与成型工艺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21/89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机械与机电</w:t>
            </w:r>
          </w:p>
        </w:tc>
        <w:tc>
          <w:tcPr>
            <w:tcW w:type="dxa" w:w="208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有限元分析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13/89</w:t>
            </w:r>
          </w:p>
        </w:tc>
        <w:tc>
          <w:tcPr>
            <w:tcW w:type="dxa" w:w="93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部署与现场服务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运行排障与事件升级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32/84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部署与现场服务</w:t>
            </w:r>
          </w:p>
        </w:tc>
        <w:tc>
          <w:tcPr>
            <w:tcW w:type="dxa" w:w="208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Linux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23/83</w:t>
            </w:r>
          </w:p>
        </w:tc>
        <w:tc>
          <w:tcPr>
            <w:tcW w:type="dxa" w:w="93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15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控制与规划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C++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25/53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控制与规划</w:t>
            </w:r>
          </w:p>
        </w:tc>
        <w:tc>
          <w:tcPr>
            <w:tcW w:type="dxa" w:w="208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Python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20/56</w:t>
            </w:r>
          </w:p>
        </w:tc>
        <w:tc>
          <w:tcPr>
            <w:tcW w:type="dxa" w:w="93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15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数据与分析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Python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19/66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数据与分析</w:t>
            </w:r>
          </w:p>
        </w:tc>
        <w:tc>
          <w:tcPr>
            <w:tcW w:type="dxa" w:w="208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Linux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8/70</w:t>
            </w:r>
          </w:p>
        </w:tc>
        <w:tc>
          <w:tcPr>
            <w:tcW w:type="dxa" w:w="93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仿真、评测与测量工具链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Python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18/54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仿真、评测与测量工具链</w:t>
            </w:r>
          </w:p>
        </w:tc>
        <w:tc>
          <w:tcPr>
            <w:tcW w:type="dxa" w:w="208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Linux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13/60</w:t>
            </w:r>
          </w:p>
        </w:tc>
        <w:tc>
          <w:tcPr>
            <w:tcW w:type="dxa" w:w="93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感知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C++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22/37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感知</w:t>
            </w:r>
          </w:p>
        </w:tc>
        <w:tc>
          <w:tcPr>
            <w:tcW w:type="dxa" w:w="208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Python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14/38</w:t>
            </w:r>
          </w:p>
        </w:tc>
        <w:tc>
          <w:tcPr>
            <w:tcW w:type="dxa" w:w="93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115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系统工程与跨域集成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C++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5/31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系统工程与跨域集成</w:t>
            </w:r>
          </w:p>
        </w:tc>
        <w:tc>
          <w:tcPr>
            <w:tcW w:type="dxa" w:w="208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Python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5/31</w:t>
            </w:r>
          </w:p>
        </w:tc>
        <w:tc>
          <w:tcPr>
            <w:tcW w:type="dxa" w:w="93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工业与体验设计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工业外观与CMF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9/23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工业与体验设计</w:t>
            </w:r>
          </w:p>
        </w:tc>
        <w:tc>
          <w:tcPr>
            <w:tcW w:type="dxa" w:w="208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用户研究与体验设计方法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6/23</w:t>
            </w:r>
          </w:p>
        </w:tc>
        <w:tc>
          <w:tcPr>
            <w:tcW w:type="dxa" w:w="93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研究科学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PyTorch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5/21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研究科学</w:t>
            </w:r>
          </w:p>
        </w:tc>
        <w:tc>
          <w:tcPr>
            <w:tcW w:type="dxa" w:w="208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Python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4/20</w:t>
            </w:r>
          </w:p>
        </w:tc>
        <w:tc>
          <w:tcPr>
            <w:tcW w:type="dxa" w:w="93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15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机器人操作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客户与医院服务流程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3/22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left"/>
            </w:pPr>
            <w:r>
              <w:rPr>
                <w:sz w:val="20"/>
              </w:rPr>
              <w:t>机器人操作</w:t>
            </w:r>
          </w:p>
        </w:tc>
        <w:tc>
          <w:tcPr>
            <w:tcW w:type="dxa" w:w="208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运行排障与事件升级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3/22</w:t>
            </w:r>
          </w:p>
        </w:tc>
        <w:tc>
          <w:tcPr>
            <w:tcW w:type="dxa" w:w="93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4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before="80" w:after="80" w:line="264" w:lineRule="auto"/>
              <w:jc w:val="center"/>
            </w:pPr>
            <w:r>
              <w:rPr>
                <w:sz w:val="20"/>
              </w:rPr>
              <w:t>组描述</w:t>
            </w:r>
          </w:p>
        </w:tc>
      </w:tr>
    </w:tbl>
    <w:p>
      <w:pPr>
        <w:spacing w:after="40"/>
      </w:pPr>
    </w:p>
    <w:p>
      <w:r>
        <w:rPr/>
        <w:t>机器人操作与研究科学虽没有通过当前条目覆盖筛选的主图，也不应笼统称为完全不能做组比较。应查具体语境的N与有效公司数。机器人操作的作业安全应用属于另一职责语境；两种层次的相关安全标签不能相加成独立需求。</w:t>
      </w:r>
    </w:p>
    <w:p>
      <w:pPr>
        <w:pStyle w:val="Caption"/>
      </w:pPr>
      <w:r>
        <w:rPr/>
        <w:t>数据与证据：index.html；tables/Q4_aggregates_final.csv；tables/Q4_company_points_final.csv；tables/Q4_display_selection.csv。</w:t>
      </w:r>
    </w:p>
    <w:p>
      <w:pPr>
        <w:pStyle w:val="Heading1"/>
      </w:pPr>
      <w:r>
        <w:rPr/>
        <w:t>附录三 复算入口和结论追溯</w:t>
      </w:r>
    </w:p>
    <w:p>
      <w:r>
        <w:rPr/>
        <w:t>复算顺序和环境记录见README_REPRODUCE.md。它从冻结输入与已登记研究判断重新生成状态、17职能统计和三任务深化结果；不应重复执行register判读登记脚本。阅读ID用于查找，唯一身份始终包含数据集、公司、来源、岗位ID及正文版本。</w:t>
      </w:r>
    </w:p>
    <w:p>
      <w:r>
        <w:rPr/>
        <w:t>结论与有限公司解释分别由下列T6、T5表连接到原始证据和适用边界。主报告、Word和index.html为本版入口，旧稿保持封存；publication_manifest.json记录交付指纹。</w:t>
      </w:r>
    </w:p>
    <w:p>
      <w:pPr>
        <w:pStyle w:val="Caption"/>
      </w:pPr>
      <w:r>
        <w:rPr/>
        <w:t>数据与证据：README_REPRODUCE.md；tables/V3_T6_claims.csv；tables/V3_T5_company_interpretation.csv；publication_manifest.json。</w:t>
      </w:r>
    </w:p>
    <w:sectPr w:rsidR="00FC693F" w:rsidRPr="0006063C" w:rsidSect="00034616"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Astra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40"/>
    </w:pPr>
    <w:rPr>
      <w:rFonts w:ascii="Microsoft YaHei" w:hAnsi="Microsoft YaHe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6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微软雅黑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具身智能公开招聘研究最终综合报告</dc:title>
  <dc:subject>冻结24主体公开招聘分析及17职能Q2拓展</dc:subject>
  <dc:creator>Astra</dc:creator>
  <cp:keywords/>
  <dc:description>本轮研究交付，内容验收状态以正文和复核收据为准。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