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Tables</w:t>
      </w:r>
    </w:p>
    <w:p>
      <w:pPr>
        <w:pStyle w:val="Caption"/>
      </w:pPr>
      <w:r>
        <w:t>Table I. Technology mentions and direct qualification expressions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81"/>
        <w:gridCol w:w="611"/>
        <w:gridCol w:w="916"/>
        <w:gridCol w:w="1465"/>
        <w:gridCol w:w="1221"/>
        <w:gridCol w:w="1465"/>
        <w:gridCol w:w="1465"/>
      </w:tblGrid>
      <w:tr>
        <w:trPr>
          <w:cantSplit/>
          <w:tblHeader/>
        </w:trPr>
        <w:tc>
          <w:tcPr>
            <w:tcW w:type="dxa" w:w="2381"/>
            <w:vAlign w:val="center"/>
            <w:shd w:fill="F0F0F0"/>
          </w:tcPr>
          <w:p>
            <w:pPr>
              <w:keepNext/>
              <w:spacing w:line="252" w:lineRule="auto" w:before="60" w:after="60"/>
              <w:jc w:val="left"/>
            </w:pPr>
            <w:r>
              <w:rPr>
                <w:b/>
                <w:sz w:val="18"/>
              </w:rPr>
              <w:t>Task and technology</w:t>
            </w:r>
          </w:p>
        </w:tc>
        <w:tc>
          <w:tcPr>
            <w:tcW w:type="dxa" w:w="611"/>
            <w:vAlign w:val="center"/>
            <w:shd w:fill="F0F0F0"/>
          </w:tcPr>
          <w:p>
            <w:pPr>
              <w:keepNext/>
              <w:spacing w:line="252" w:lineRule="auto" w:before="60" w:after="60"/>
              <w:jc w:val="center"/>
            </w:pPr>
            <w:r>
              <w:rPr>
                <w:b/>
                <w:sz w:val="18"/>
              </w:rPr>
              <w:t>Ads B</w:t>
            </w:r>
          </w:p>
        </w:tc>
        <w:tc>
          <w:tcPr>
            <w:tcW w:type="dxa" w:w="916"/>
            <w:vAlign w:val="center"/>
            <w:shd w:fill="F0F0F0"/>
          </w:tcPr>
          <w:p>
            <w:pPr>
              <w:keepNext/>
              <w:spacing w:line="252" w:lineRule="auto" w:before="60" w:after="60"/>
              <w:jc w:val="center"/>
            </w:pPr>
            <w:r>
              <w:rPr>
                <w:b/>
                <w:sz w:val="18"/>
              </w:rPr>
              <w:t>Mention M</w:t>
            </w:r>
          </w:p>
        </w:tc>
        <w:tc>
          <w:tcPr>
            <w:tcW w:type="dxa" w:w="1465"/>
            <w:vAlign w:val="center"/>
            <w:shd w:fill="F0F0F0"/>
          </w:tcPr>
          <w:p>
            <w:pPr>
              <w:keepNext/>
              <w:spacing w:line="252" w:lineRule="auto" w:before="60" w:after="60"/>
              <w:jc w:val="center"/>
            </w:pPr>
            <w:r>
              <w:rPr>
                <w:b/>
                <w:sz w:val="18"/>
              </w:rPr>
              <w:t>Q states</w:t>
              <w:br/>
              <w:t>P / Z / U</w:t>
            </w:r>
          </w:p>
        </w:tc>
        <w:tc>
          <w:tcPr>
            <w:tcW w:type="dxa" w:w="1221"/>
            <w:vAlign w:val="center"/>
            <w:shd w:fill="F0F0F0"/>
          </w:tcPr>
          <w:p>
            <w:pPr>
              <w:keepNext/>
              <w:spacing w:line="252" w:lineRule="auto" w:before="60" w:after="60"/>
              <w:jc w:val="center"/>
            </w:pPr>
            <w:r>
              <w:rPr>
                <w:b/>
                <w:sz w:val="18"/>
              </w:rPr>
              <w:t>Confirmed</w:t>
              <w:br/>
              <w:t>P/B %</w:t>
            </w:r>
          </w:p>
        </w:tc>
        <w:tc>
          <w:tcPr>
            <w:tcW w:type="dxa" w:w="1465"/>
            <w:vAlign w:val="center"/>
            <w:shd w:fill="F0F0F0"/>
          </w:tcPr>
          <w:p>
            <w:pPr>
              <w:keepNext/>
              <w:spacing w:line="252" w:lineRule="auto" w:before="60" w:after="60"/>
              <w:jc w:val="center"/>
            </w:pPr>
            <w:r>
              <w:rPr>
                <w:b/>
                <w:sz w:val="18"/>
              </w:rPr>
              <w:t>Conditional</w:t>
              <w:br/>
              <w:t>P/(B−U) %</w:t>
            </w:r>
          </w:p>
        </w:tc>
        <w:tc>
          <w:tcPr>
            <w:tcW w:type="dxa" w:w="1465"/>
            <w:vAlign w:val="center"/>
            <w:shd w:fill="F0F0F0"/>
          </w:tcPr>
          <w:p>
            <w:pPr>
              <w:keepNext/>
              <w:spacing w:line="252" w:lineRule="auto" w:before="60" w:after="60"/>
              <w:jc w:val="center"/>
            </w:pPr>
            <w:r>
              <w:rPr>
                <w:b/>
                <w:sz w:val="18"/>
              </w:rPr>
              <w:t>Q bounds</w:t>
              <w:br/>
              <w:t>%</w:t>
            </w:r>
          </w:p>
        </w:tc>
      </w:tr>
      <w:tr>
        <w:trPr>
          <w:cantSplit/>
        </w:trPr>
        <w:tc>
          <w:tcPr>
            <w:tcW w:type="dxa" w:w="2381"/>
            <w:vAlign w:val="center"/>
          </w:tcPr>
          <w:p>
            <w:pPr>
              <w:keepNext/>
              <w:spacing w:line="252" w:lineRule="auto" w:before="60" w:after="60"/>
              <w:jc w:val="left"/>
            </w:pPr>
            <w:r>
              <w:rPr>
                <w:b w:val="0"/>
                <w:sz w:val="18"/>
              </w:rPr>
              <w:t>Robot learning</w:t>
              <w:br/>
              <w:t>Python</w:t>
            </w:r>
          </w:p>
        </w:tc>
        <w:tc>
          <w:tcPr>
            <w:tcW w:type="dxa" w:w="611"/>
            <w:vAlign w:val="center"/>
          </w:tcPr>
          <w:p>
            <w:pPr>
              <w:keepNext/>
              <w:spacing w:line="252" w:lineRule="auto" w:before="60" w:after="60"/>
              <w:jc w:val="center"/>
            </w:pPr>
            <w:r>
              <w:rPr>
                <w:b w:val="0"/>
                <w:sz w:val="18"/>
              </w:rPr>
              <w:t>105</w:t>
            </w:r>
          </w:p>
        </w:tc>
        <w:tc>
          <w:tcPr>
            <w:tcW w:type="dxa" w:w="916"/>
            <w:vAlign w:val="center"/>
          </w:tcPr>
          <w:p>
            <w:pPr>
              <w:keepNext/>
              <w:spacing w:line="252" w:lineRule="auto" w:before="60" w:after="60"/>
              <w:jc w:val="center"/>
            </w:pPr>
            <w:r>
              <w:rPr>
                <w:b w:val="0"/>
                <w:sz w:val="18"/>
              </w:rPr>
              <w:t>73</w:t>
            </w:r>
          </w:p>
        </w:tc>
        <w:tc>
          <w:tcPr>
            <w:tcW w:type="dxa" w:w="1465"/>
            <w:vAlign w:val="center"/>
          </w:tcPr>
          <w:p>
            <w:pPr>
              <w:keepNext/>
              <w:spacing w:line="252" w:lineRule="auto" w:before="60" w:after="60"/>
              <w:jc w:val="center"/>
            </w:pPr>
            <w:r>
              <w:rPr>
                <w:b w:val="0"/>
                <w:sz w:val="18"/>
              </w:rPr>
              <w:t>42 / 46 / 17</w:t>
            </w:r>
          </w:p>
        </w:tc>
        <w:tc>
          <w:tcPr>
            <w:tcW w:type="dxa" w:w="1221"/>
            <w:vAlign w:val="center"/>
          </w:tcPr>
          <w:p>
            <w:pPr>
              <w:keepNext/>
              <w:spacing w:line="252" w:lineRule="auto" w:before="60" w:after="60"/>
              <w:jc w:val="center"/>
            </w:pPr>
            <w:r>
              <w:rPr>
                <w:b w:val="0"/>
                <w:sz w:val="18"/>
              </w:rPr>
              <w:t>40.0</w:t>
            </w:r>
          </w:p>
        </w:tc>
        <w:tc>
          <w:tcPr>
            <w:tcW w:type="dxa" w:w="1465"/>
            <w:vAlign w:val="center"/>
          </w:tcPr>
          <w:p>
            <w:pPr>
              <w:keepNext/>
              <w:spacing w:line="252" w:lineRule="auto" w:before="60" w:after="60"/>
              <w:jc w:val="center"/>
            </w:pPr>
            <w:r>
              <w:rPr>
                <w:b w:val="0"/>
                <w:sz w:val="18"/>
              </w:rPr>
              <w:t>47.7</w:t>
            </w:r>
          </w:p>
        </w:tc>
        <w:tc>
          <w:tcPr>
            <w:tcW w:type="dxa" w:w="1465"/>
            <w:vAlign w:val="center"/>
          </w:tcPr>
          <w:p>
            <w:pPr>
              <w:keepNext/>
              <w:spacing w:line="252" w:lineRule="auto" w:before="60" w:after="60"/>
              <w:jc w:val="center"/>
            </w:pPr>
            <w:r>
              <w:rPr>
                <w:b w:val="0"/>
                <w:sz w:val="18"/>
              </w:rPr>
              <w:t>40.0–56.2</w:t>
            </w:r>
          </w:p>
        </w:tc>
      </w:tr>
      <w:tr>
        <w:trPr>
          <w:cantSplit/>
        </w:trPr>
        <w:tc>
          <w:tcPr>
            <w:tcW w:type="dxa" w:w="2381"/>
            <w:vAlign w:val="center"/>
          </w:tcPr>
          <w:p>
            <w:pPr>
              <w:keepNext/>
              <w:spacing w:line="252" w:lineRule="auto" w:before="60" w:after="60"/>
              <w:jc w:val="left"/>
            </w:pPr>
            <w:r>
              <w:rPr>
                <w:b w:val="0"/>
                <w:sz w:val="18"/>
              </w:rPr>
              <w:t>Robot learning</w:t>
              <w:br/>
              <w:t>PyTorch</w:t>
            </w:r>
          </w:p>
        </w:tc>
        <w:tc>
          <w:tcPr>
            <w:tcW w:type="dxa" w:w="611"/>
            <w:vAlign w:val="center"/>
          </w:tcPr>
          <w:p>
            <w:pPr>
              <w:keepNext/>
              <w:spacing w:line="252" w:lineRule="auto" w:before="60" w:after="60"/>
              <w:jc w:val="center"/>
            </w:pPr>
            <w:r>
              <w:rPr>
                <w:b w:val="0"/>
                <w:sz w:val="18"/>
              </w:rPr>
              <w:t>105</w:t>
            </w:r>
          </w:p>
        </w:tc>
        <w:tc>
          <w:tcPr>
            <w:tcW w:type="dxa" w:w="916"/>
            <w:vAlign w:val="center"/>
          </w:tcPr>
          <w:p>
            <w:pPr>
              <w:keepNext/>
              <w:spacing w:line="252" w:lineRule="auto" w:before="60" w:after="60"/>
              <w:jc w:val="center"/>
            </w:pPr>
            <w:r>
              <w:rPr>
                <w:b w:val="0"/>
                <w:sz w:val="18"/>
              </w:rPr>
              <w:t>83</w:t>
            </w:r>
          </w:p>
        </w:tc>
        <w:tc>
          <w:tcPr>
            <w:tcW w:type="dxa" w:w="1465"/>
            <w:vAlign w:val="center"/>
          </w:tcPr>
          <w:p>
            <w:pPr>
              <w:keepNext/>
              <w:spacing w:line="252" w:lineRule="auto" w:before="60" w:after="60"/>
              <w:jc w:val="center"/>
            </w:pPr>
            <w:r>
              <w:rPr>
                <w:b w:val="0"/>
                <w:sz w:val="18"/>
              </w:rPr>
              <w:t>23 / 77 / 5</w:t>
            </w:r>
          </w:p>
        </w:tc>
        <w:tc>
          <w:tcPr>
            <w:tcW w:type="dxa" w:w="1221"/>
            <w:vAlign w:val="center"/>
          </w:tcPr>
          <w:p>
            <w:pPr>
              <w:keepNext/>
              <w:spacing w:line="252" w:lineRule="auto" w:before="60" w:after="60"/>
              <w:jc w:val="center"/>
            </w:pPr>
            <w:r>
              <w:rPr>
                <w:b w:val="0"/>
                <w:sz w:val="18"/>
              </w:rPr>
              <w:t>21.9</w:t>
            </w:r>
          </w:p>
        </w:tc>
        <w:tc>
          <w:tcPr>
            <w:tcW w:type="dxa" w:w="1465"/>
            <w:vAlign w:val="center"/>
          </w:tcPr>
          <w:p>
            <w:pPr>
              <w:keepNext/>
              <w:spacing w:line="252" w:lineRule="auto" w:before="60" w:after="60"/>
              <w:jc w:val="center"/>
            </w:pPr>
            <w:r>
              <w:rPr>
                <w:b w:val="0"/>
                <w:sz w:val="18"/>
              </w:rPr>
              <w:t>23.0</w:t>
            </w:r>
          </w:p>
        </w:tc>
        <w:tc>
          <w:tcPr>
            <w:tcW w:type="dxa" w:w="1465"/>
            <w:vAlign w:val="center"/>
          </w:tcPr>
          <w:p>
            <w:pPr>
              <w:keepNext/>
              <w:spacing w:line="252" w:lineRule="auto" w:before="60" w:after="60"/>
              <w:jc w:val="center"/>
            </w:pPr>
            <w:r>
              <w:rPr>
                <w:b w:val="0"/>
                <w:sz w:val="18"/>
              </w:rPr>
              <w:t>21.9–26.7</w:t>
            </w:r>
          </w:p>
        </w:tc>
      </w:tr>
      <w:tr>
        <w:trPr>
          <w:cantSplit/>
        </w:trPr>
        <w:tc>
          <w:tcPr>
            <w:tcW w:type="dxa" w:w="2381"/>
            <w:vAlign w:val="center"/>
          </w:tcPr>
          <w:p>
            <w:pPr>
              <w:keepNext/>
              <w:spacing w:line="252" w:lineRule="auto" w:before="60" w:after="60"/>
              <w:jc w:val="left"/>
            </w:pPr>
            <w:r>
              <w:rPr>
                <w:b w:val="0"/>
                <w:sz w:val="18"/>
              </w:rPr>
              <w:t>Robot runtime</w:t>
              <w:br/>
              <w:t>C++</w:t>
            </w:r>
          </w:p>
        </w:tc>
        <w:tc>
          <w:tcPr>
            <w:tcW w:type="dxa" w:w="611"/>
            <w:vAlign w:val="center"/>
          </w:tcPr>
          <w:p>
            <w:pPr>
              <w:keepNext/>
              <w:spacing w:line="252" w:lineRule="auto" w:before="60" w:after="60"/>
              <w:jc w:val="center"/>
            </w:pPr>
            <w:r>
              <w:rPr>
                <w:b w:val="0"/>
                <w:sz w:val="18"/>
              </w:rPr>
              <w:t>87</w:t>
            </w:r>
          </w:p>
        </w:tc>
        <w:tc>
          <w:tcPr>
            <w:tcW w:type="dxa" w:w="916"/>
            <w:vAlign w:val="center"/>
          </w:tcPr>
          <w:p>
            <w:pPr>
              <w:keepNext/>
              <w:spacing w:line="252" w:lineRule="auto" w:before="60" w:after="60"/>
              <w:jc w:val="center"/>
            </w:pPr>
            <w:r>
              <w:rPr>
                <w:b w:val="0"/>
                <w:sz w:val="18"/>
              </w:rPr>
              <w:t>80</w:t>
            </w:r>
          </w:p>
        </w:tc>
        <w:tc>
          <w:tcPr>
            <w:tcW w:type="dxa" w:w="1465"/>
            <w:vAlign w:val="center"/>
          </w:tcPr>
          <w:p>
            <w:pPr>
              <w:keepNext/>
              <w:spacing w:line="252" w:lineRule="auto" w:before="60" w:after="60"/>
              <w:jc w:val="center"/>
            </w:pPr>
            <w:r>
              <w:rPr>
                <w:b w:val="0"/>
                <w:sz w:val="18"/>
              </w:rPr>
              <w:t>38 / 26 / 23</w:t>
            </w:r>
          </w:p>
        </w:tc>
        <w:tc>
          <w:tcPr>
            <w:tcW w:type="dxa" w:w="1221"/>
            <w:vAlign w:val="center"/>
          </w:tcPr>
          <w:p>
            <w:pPr>
              <w:keepNext/>
              <w:spacing w:line="252" w:lineRule="auto" w:before="60" w:after="60"/>
              <w:jc w:val="center"/>
            </w:pPr>
            <w:r>
              <w:rPr>
                <w:b w:val="0"/>
                <w:sz w:val="18"/>
              </w:rPr>
              <w:t>43.7</w:t>
            </w:r>
          </w:p>
        </w:tc>
        <w:tc>
          <w:tcPr>
            <w:tcW w:type="dxa" w:w="1465"/>
            <w:vAlign w:val="center"/>
          </w:tcPr>
          <w:p>
            <w:pPr>
              <w:keepNext/>
              <w:spacing w:line="252" w:lineRule="auto" w:before="60" w:after="60"/>
              <w:jc w:val="center"/>
            </w:pPr>
            <w:r>
              <w:rPr>
                <w:b w:val="0"/>
                <w:sz w:val="18"/>
              </w:rPr>
              <w:t>59.4</w:t>
            </w:r>
          </w:p>
        </w:tc>
        <w:tc>
          <w:tcPr>
            <w:tcW w:type="dxa" w:w="1465"/>
            <w:vAlign w:val="center"/>
          </w:tcPr>
          <w:p>
            <w:pPr>
              <w:keepNext/>
              <w:spacing w:line="252" w:lineRule="auto" w:before="60" w:after="60"/>
              <w:jc w:val="center"/>
            </w:pPr>
            <w:r>
              <w:rPr>
                <w:b w:val="0"/>
                <w:sz w:val="18"/>
              </w:rPr>
              <w:t>43.7–70.1</w:t>
            </w:r>
          </w:p>
        </w:tc>
      </w:tr>
      <w:tr>
        <w:trPr>
          <w:cantSplit/>
        </w:trPr>
        <w:tc>
          <w:tcPr>
            <w:tcW w:type="dxa" w:w="2381"/>
            <w:vAlign w:val="center"/>
          </w:tcPr>
          <w:p>
            <w:pPr>
              <w:keepNext/>
              <w:spacing w:line="252" w:lineRule="auto" w:before="60" w:after="60"/>
              <w:jc w:val="left"/>
            </w:pPr>
            <w:r>
              <w:rPr>
                <w:b w:val="0"/>
                <w:sz w:val="18"/>
              </w:rPr>
              <w:t>Robot runtime</w:t>
              <w:br/>
              <w:t>Linux</w:t>
            </w:r>
          </w:p>
        </w:tc>
        <w:tc>
          <w:tcPr>
            <w:tcW w:type="dxa" w:w="611"/>
            <w:vAlign w:val="center"/>
          </w:tcPr>
          <w:p>
            <w:pPr>
              <w:keepNext/>
              <w:spacing w:line="252" w:lineRule="auto" w:before="60" w:after="60"/>
              <w:jc w:val="center"/>
            </w:pPr>
            <w:r>
              <w:rPr>
                <w:b w:val="0"/>
                <w:sz w:val="18"/>
              </w:rPr>
              <w:t>87</w:t>
            </w:r>
          </w:p>
        </w:tc>
        <w:tc>
          <w:tcPr>
            <w:tcW w:type="dxa" w:w="916"/>
            <w:vAlign w:val="center"/>
          </w:tcPr>
          <w:p>
            <w:pPr>
              <w:keepNext/>
              <w:spacing w:line="252" w:lineRule="auto" w:before="60" w:after="60"/>
              <w:jc w:val="center"/>
            </w:pPr>
            <w:r>
              <w:rPr>
                <w:b w:val="0"/>
                <w:sz w:val="18"/>
              </w:rPr>
              <w:t>52</w:t>
            </w:r>
          </w:p>
        </w:tc>
        <w:tc>
          <w:tcPr>
            <w:tcW w:type="dxa" w:w="1465"/>
            <w:vAlign w:val="center"/>
          </w:tcPr>
          <w:p>
            <w:pPr>
              <w:keepNext/>
              <w:spacing w:line="252" w:lineRule="auto" w:before="60" w:after="60"/>
              <w:jc w:val="center"/>
            </w:pPr>
            <w:r>
              <w:rPr>
                <w:b w:val="0"/>
                <w:sz w:val="18"/>
              </w:rPr>
              <w:t>47 / 39 / 1</w:t>
            </w:r>
          </w:p>
        </w:tc>
        <w:tc>
          <w:tcPr>
            <w:tcW w:type="dxa" w:w="1221"/>
            <w:vAlign w:val="center"/>
          </w:tcPr>
          <w:p>
            <w:pPr>
              <w:keepNext/>
              <w:spacing w:line="252" w:lineRule="auto" w:before="60" w:after="60"/>
              <w:jc w:val="center"/>
            </w:pPr>
            <w:r>
              <w:rPr>
                <w:b w:val="0"/>
                <w:sz w:val="18"/>
              </w:rPr>
              <w:t>54.0</w:t>
            </w:r>
          </w:p>
        </w:tc>
        <w:tc>
          <w:tcPr>
            <w:tcW w:type="dxa" w:w="1465"/>
            <w:vAlign w:val="center"/>
          </w:tcPr>
          <w:p>
            <w:pPr>
              <w:keepNext/>
              <w:spacing w:line="252" w:lineRule="auto" w:before="60" w:after="60"/>
              <w:jc w:val="center"/>
            </w:pPr>
            <w:r>
              <w:rPr>
                <w:b w:val="0"/>
                <w:sz w:val="18"/>
              </w:rPr>
              <w:t>54.7</w:t>
            </w:r>
          </w:p>
        </w:tc>
        <w:tc>
          <w:tcPr>
            <w:tcW w:type="dxa" w:w="1465"/>
            <w:vAlign w:val="center"/>
          </w:tcPr>
          <w:p>
            <w:pPr>
              <w:keepNext/>
              <w:spacing w:line="252" w:lineRule="auto" w:before="60" w:after="60"/>
              <w:jc w:val="center"/>
            </w:pPr>
            <w:r>
              <w:rPr>
                <w:b w:val="0"/>
                <w:sz w:val="18"/>
              </w:rPr>
              <w:t>54.0–55.2</w:t>
            </w:r>
          </w:p>
        </w:tc>
      </w:tr>
      <w:tr>
        <w:trPr>
          <w:cantSplit/>
        </w:trPr>
        <w:tc>
          <w:tcPr>
            <w:tcW w:type="dxa" w:w="2381"/>
            <w:vAlign w:val="center"/>
          </w:tcPr>
          <w:p>
            <w:pPr>
              <w:keepNext/>
              <w:spacing w:line="252" w:lineRule="auto" w:before="60" w:after="60"/>
              <w:jc w:val="left"/>
            </w:pPr>
            <w:r>
              <w:rPr>
                <w:b w:val="0"/>
                <w:sz w:val="18"/>
              </w:rPr>
              <w:t>Board circuitry</w:t>
              <w:br/>
              <w:t>Altium</w:t>
            </w:r>
          </w:p>
        </w:tc>
        <w:tc>
          <w:tcPr>
            <w:tcW w:type="dxa" w:w="611"/>
            <w:vAlign w:val="center"/>
          </w:tcPr>
          <w:p>
            <w:pPr>
              <w:keepNext/>
              <w:spacing w:line="252" w:lineRule="auto" w:before="60" w:after="60"/>
              <w:jc w:val="center"/>
            </w:pPr>
            <w:r>
              <w:rPr>
                <w:b w:val="0"/>
                <w:sz w:val="18"/>
              </w:rPr>
              <w:t>56</w:t>
            </w:r>
          </w:p>
        </w:tc>
        <w:tc>
          <w:tcPr>
            <w:tcW w:type="dxa" w:w="916"/>
            <w:vAlign w:val="center"/>
          </w:tcPr>
          <w:p>
            <w:pPr>
              <w:keepNext/>
              <w:spacing w:line="252" w:lineRule="auto" w:before="60" w:after="60"/>
              <w:jc w:val="center"/>
            </w:pPr>
            <w:r>
              <w:rPr>
                <w:b w:val="0"/>
                <w:sz w:val="18"/>
              </w:rPr>
              <w:t>24</w:t>
            </w:r>
          </w:p>
        </w:tc>
        <w:tc>
          <w:tcPr>
            <w:tcW w:type="dxa" w:w="1465"/>
            <w:vAlign w:val="center"/>
          </w:tcPr>
          <w:p>
            <w:pPr>
              <w:keepNext/>
              <w:spacing w:line="252" w:lineRule="auto" w:before="60" w:after="60"/>
              <w:jc w:val="center"/>
            </w:pPr>
            <w:r>
              <w:rPr>
                <w:b w:val="0"/>
                <w:sz w:val="18"/>
              </w:rPr>
              <w:t>5 / 51 / 0</w:t>
            </w:r>
          </w:p>
        </w:tc>
        <w:tc>
          <w:tcPr>
            <w:tcW w:type="dxa" w:w="1221"/>
            <w:vAlign w:val="center"/>
          </w:tcPr>
          <w:p>
            <w:pPr>
              <w:keepNext/>
              <w:spacing w:line="252" w:lineRule="auto" w:before="60" w:after="60"/>
              <w:jc w:val="center"/>
            </w:pPr>
            <w:r>
              <w:rPr>
                <w:b w:val="0"/>
                <w:sz w:val="18"/>
              </w:rPr>
              <w:t>8.9</w:t>
            </w:r>
          </w:p>
        </w:tc>
        <w:tc>
          <w:tcPr>
            <w:tcW w:type="dxa" w:w="1465"/>
            <w:vAlign w:val="center"/>
          </w:tcPr>
          <w:p>
            <w:pPr>
              <w:keepNext/>
              <w:spacing w:line="252" w:lineRule="auto" w:before="60" w:after="60"/>
              <w:jc w:val="center"/>
            </w:pPr>
            <w:r>
              <w:rPr>
                <w:b w:val="0"/>
                <w:sz w:val="18"/>
              </w:rPr>
              <w:t>8.9</w:t>
            </w:r>
          </w:p>
        </w:tc>
        <w:tc>
          <w:tcPr>
            <w:tcW w:type="dxa" w:w="1465"/>
            <w:vAlign w:val="center"/>
          </w:tcPr>
          <w:p>
            <w:pPr>
              <w:keepNext/>
              <w:spacing w:line="252" w:lineRule="auto" w:before="60" w:after="60"/>
              <w:jc w:val="center"/>
            </w:pPr>
            <w:r>
              <w:rPr>
                <w:b w:val="0"/>
                <w:sz w:val="18"/>
              </w:rPr>
              <w:t>8.9–8.9</w:t>
            </w:r>
          </w:p>
        </w:tc>
      </w:tr>
      <w:tr>
        <w:trPr>
          <w:cantSplit/>
        </w:trPr>
        <w:tc>
          <w:tcPr>
            <w:tcW w:type="dxa" w:w="2381"/>
            <w:vAlign w:val="center"/>
          </w:tcPr>
          <w:p>
            <w:pPr>
              <w:keepNext/>
              <w:spacing w:line="252" w:lineRule="auto" w:before="60" w:after="60"/>
              <w:jc w:val="left"/>
            </w:pPr>
            <w:r>
              <w:rPr>
                <w:b w:val="0"/>
                <w:sz w:val="18"/>
              </w:rPr>
              <w:t>Board circuitry</w:t>
              <w:br/>
              <w:t>EMC/SI/PI</w:t>
            </w:r>
          </w:p>
        </w:tc>
        <w:tc>
          <w:tcPr>
            <w:tcW w:type="dxa" w:w="611"/>
            <w:vAlign w:val="center"/>
          </w:tcPr>
          <w:p>
            <w:pPr>
              <w:keepNext/>
              <w:spacing w:line="252" w:lineRule="auto" w:before="60" w:after="60"/>
              <w:jc w:val="center"/>
            </w:pPr>
            <w:r>
              <w:rPr>
                <w:b w:val="0"/>
                <w:sz w:val="18"/>
              </w:rPr>
              <w:t>56</w:t>
            </w:r>
          </w:p>
        </w:tc>
        <w:tc>
          <w:tcPr>
            <w:tcW w:type="dxa" w:w="916"/>
            <w:vAlign w:val="center"/>
          </w:tcPr>
          <w:p>
            <w:pPr>
              <w:keepNext/>
              <w:spacing w:line="252" w:lineRule="auto" w:before="60" w:after="60"/>
              <w:jc w:val="center"/>
            </w:pPr>
            <w:r>
              <w:rPr>
                <w:b w:val="0"/>
                <w:sz w:val="18"/>
              </w:rPr>
              <w:t>36</w:t>
            </w:r>
          </w:p>
        </w:tc>
        <w:tc>
          <w:tcPr>
            <w:tcW w:type="dxa" w:w="1465"/>
            <w:vAlign w:val="center"/>
          </w:tcPr>
          <w:p>
            <w:pPr>
              <w:keepNext/>
              <w:spacing w:line="252" w:lineRule="auto" w:before="60" w:after="60"/>
              <w:jc w:val="center"/>
            </w:pPr>
            <w:r>
              <w:rPr>
                <w:b w:val="0"/>
                <w:sz w:val="18"/>
              </w:rPr>
              <w:t>15 / 41 / 0</w:t>
            </w:r>
          </w:p>
        </w:tc>
        <w:tc>
          <w:tcPr>
            <w:tcW w:type="dxa" w:w="1221"/>
            <w:vAlign w:val="center"/>
          </w:tcPr>
          <w:p>
            <w:pPr>
              <w:keepNext/>
              <w:spacing w:line="252" w:lineRule="auto" w:before="60" w:after="60"/>
              <w:jc w:val="center"/>
            </w:pPr>
            <w:r>
              <w:rPr>
                <w:b w:val="0"/>
                <w:sz w:val="18"/>
              </w:rPr>
              <w:t>26.8</w:t>
            </w:r>
          </w:p>
        </w:tc>
        <w:tc>
          <w:tcPr>
            <w:tcW w:type="dxa" w:w="1465"/>
            <w:vAlign w:val="center"/>
          </w:tcPr>
          <w:p>
            <w:pPr>
              <w:keepNext/>
              <w:spacing w:line="252" w:lineRule="auto" w:before="60" w:after="60"/>
              <w:jc w:val="center"/>
            </w:pPr>
            <w:r>
              <w:rPr>
                <w:b w:val="0"/>
                <w:sz w:val="18"/>
              </w:rPr>
              <w:t>26.8</w:t>
            </w:r>
          </w:p>
        </w:tc>
        <w:tc>
          <w:tcPr>
            <w:tcW w:type="dxa" w:w="1465"/>
            <w:vAlign w:val="center"/>
          </w:tcPr>
          <w:p>
            <w:pPr>
              <w:keepNext/>
              <w:spacing w:line="252" w:lineRule="auto" w:before="60" w:after="60"/>
              <w:jc w:val="center"/>
            </w:pPr>
            <w:r>
              <w:rPr>
                <w:b w:val="0"/>
                <w:sz w:val="18"/>
              </w:rPr>
              <w:t>26.8–26.8</w:t>
            </w:r>
          </w:p>
        </w:tc>
      </w:tr>
    </w:tbl>
    <w:p>
      <w:pPr>
        <w:spacing w:line="264" w:lineRule="auto" w:after="180"/>
      </w:pPr>
      <w:r>
        <w:rPr>
          <w:sz w:val="18"/>
        </w:rPr>
        <w:t>Notes: Q is the advertisement-level union of unconditional GENERAL and REQUIRED expressions. P denotes a confirmed positive, Z no recorded positive within the coding scope, and U unresolved scope. Bounds are [P/B, (P+U)/B], not confidence intervals. Conditional proportions exclude U. Robot learning includes model development. EMC/SI/PI denotes the compatibility, signal-integrity and power-integrity method family. The two technologies within each task reuse the same advertisements. Source: calculations from the captured job-advertisement corpus.</w:t>
      </w:r>
    </w:p>
    <w:p>
      <w:r>
        <w:br w:type="page"/>
      </w:r>
    </w:p>
    <w:p>
      <w:pPr>
        <w:pStyle w:val="Caption"/>
      </w:pPr>
      <w:r>
        <w:t>Table II. Main company differences on fixed and evaluable task bases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09"/>
        <w:gridCol w:w="1305"/>
        <w:gridCol w:w="1435"/>
        <w:gridCol w:w="1435"/>
        <w:gridCol w:w="2022"/>
        <w:gridCol w:w="2218"/>
      </w:tblGrid>
      <w:tr>
        <w:trPr>
          <w:cantSplit/>
          <w:tblHeader/>
        </w:trPr>
        <w:tc>
          <w:tcPr>
            <w:tcW w:type="dxa" w:w="1109"/>
            <w:vAlign w:val="center"/>
            <w:shd w:fill="F0F0F0"/>
          </w:tcPr>
          <w:p>
            <w:pPr>
              <w:keepNext/>
              <w:spacing w:line="252" w:lineRule="auto" w:before="60" w:after="60"/>
              <w:jc w:val="left"/>
            </w:pPr>
            <w:r>
              <w:rPr>
                <w:b/>
                <w:sz w:val="18"/>
              </w:rPr>
              <w:t>Technology</w:t>
            </w:r>
          </w:p>
        </w:tc>
        <w:tc>
          <w:tcPr>
            <w:tcW w:type="dxa" w:w="1305"/>
            <w:vAlign w:val="center"/>
            <w:shd w:fill="F0F0F0"/>
          </w:tcPr>
          <w:p>
            <w:pPr>
              <w:keepNext/>
              <w:spacing w:line="252" w:lineRule="auto" w:before="60" w:after="60"/>
              <w:jc w:val="center"/>
            </w:pPr>
            <w:r>
              <w:rPr>
                <w:b/>
                <w:sz w:val="18"/>
              </w:rPr>
              <w:t>Mention gap</w:t>
              <w:br/>
              <w:t>pp</w:t>
            </w:r>
          </w:p>
        </w:tc>
        <w:tc>
          <w:tcPr>
            <w:tcW w:type="dxa" w:w="1435"/>
            <w:vAlign w:val="center"/>
            <w:shd w:fill="F0F0F0"/>
          </w:tcPr>
          <w:p>
            <w:pPr>
              <w:keepNext/>
              <w:spacing w:line="252" w:lineRule="auto" w:before="60" w:after="60"/>
              <w:jc w:val="center"/>
            </w:pPr>
            <w:r>
              <w:rPr>
                <w:b/>
                <w:sz w:val="18"/>
              </w:rPr>
              <w:t>Confirmed Q gap</w:t>
              <w:br/>
              <w:t>pp</w:t>
            </w:r>
          </w:p>
        </w:tc>
        <w:tc>
          <w:tcPr>
            <w:tcW w:type="dxa" w:w="1435"/>
            <w:vAlign w:val="center"/>
            <w:shd w:fill="F0F0F0"/>
          </w:tcPr>
          <w:p>
            <w:pPr>
              <w:keepNext/>
              <w:spacing w:line="252" w:lineRule="auto" w:before="60" w:after="60"/>
              <w:jc w:val="center"/>
            </w:pPr>
            <w:r>
              <w:rPr>
                <w:b/>
                <w:sz w:val="18"/>
              </w:rPr>
              <w:t>Conditional Q gap</w:t>
              <w:br/>
              <w:t>pp</w:t>
            </w:r>
          </w:p>
        </w:tc>
        <w:tc>
          <w:tcPr>
            <w:tcW w:type="dxa" w:w="2022"/>
            <w:vAlign w:val="center"/>
            <w:shd w:fill="F0F0F0"/>
          </w:tcPr>
          <w:p>
            <w:pPr>
              <w:keepNext/>
              <w:spacing w:line="252" w:lineRule="auto" w:before="60" w:after="60"/>
              <w:jc w:val="center"/>
            </w:pPr>
            <w:r>
              <w:rPr>
                <w:b/>
                <w:sz w:val="18"/>
              </w:rPr>
              <w:t>Q difference bounds</w:t>
              <w:br/>
              <w:t>pp</w:t>
            </w:r>
          </w:p>
        </w:tc>
        <w:tc>
          <w:tcPr>
            <w:tcW w:type="dxa" w:w="2218"/>
            <w:vAlign w:val="center"/>
            <w:shd w:fill="F0F0F0"/>
          </w:tcPr>
          <w:p>
            <w:pPr>
              <w:keepNext/>
              <w:spacing w:line="252" w:lineRule="auto" w:before="60" w:after="60"/>
              <w:jc w:val="center"/>
            </w:pPr>
            <w:r>
              <w:rPr>
                <w:b/>
                <w:sz w:val="18"/>
              </w:rPr>
              <w:t>Interpretation</w:t>
            </w:r>
          </w:p>
        </w:tc>
      </w:tr>
      <w:tr>
        <w:trPr>
          <w:cantSplit/>
        </w:trPr>
        <w:tc>
          <w:tcPr>
            <w:tcW w:type="dxa" w:w="1109"/>
            <w:vAlign w:val="center"/>
          </w:tcPr>
          <w:p>
            <w:pPr>
              <w:keepNext/>
              <w:spacing w:line="252" w:lineRule="auto" w:before="60" w:after="60"/>
              <w:jc w:val="left"/>
            </w:pPr>
            <w:r>
              <w:rPr>
                <w:b w:val="0"/>
                <w:sz w:val="18"/>
              </w:rPr>
              <w:t>Python</w:t>
            </w:r>
          </w:p>
        </w:tc>
        <w:tc>
          <w:tcPr>
            <w:tcW w:type="dxa" w:w="1305"/>
            <w:vAlign w:val="center"/>
          </w:tcPr>
          <w:p>
            <w:pPr>
              <w:keepNext/>
              <w:spacing w:line="252" w:lineRule="auto" w:before="60" w:after="60"/>
              <w:jc w:val="center"/>
            </w:pPr>
            <w:r>
              <w:rPr>
                <w:b w:val="0"/>
                <w:sz w:val="18"/>
              </w:rPr>
              <w:t>+30.2</w:t>
            </w:r>
          </w:p>
        </w:tc>
        <w:tc>
          <w:tcPr>
            <w:tcW w:type="dxa" w:w="1435"/>
            <w:vAlign w:val="center"/>
          </w:tcPr>
          <w:p>
            <w:pPr>
              <w:keepNext/>
              <w:spacing w:line="252" w:lineRule="auto" w:before="60" w:after="60"/>
              <w:jc w:val="center"/>
            </w:pPr>
            <w:r>
              <w:rPr>
                <w:b w:val="0"/>
                <w:sz w:val="18"/>
              </w:rPr>
              <w:t>+52.4</w:t>
            </w:r>
          </w:p>
        </w:tc>
        <w:tc>
          <w:tcPr>
            <w:tcW w:type="dxa" w:w="1435"/>
            <w:vAlign w:val="center"/>
          </w:tcPr>
          <w:p>
            <w:pPr>
              <w:keepNext/>
              <w:spacing w:line="252" w:lineRule="auto" w:before="60" w:after="60"/>
              <w:jc w:val="center"/>
            </w:pPr>
            <w:r>
              <w:rPr>
                <w:b w:val="0"/>
                <w:sz w:val="18"/>
              </w:rPr>
              <w:t>+53.6</w:t>
            </w:r>
          </w:p>
        </w:tc>
        <w:tc>
          <w:tcPr>
            <w:tcW w:type="dxa" w:w="2022"/>
            <w:vAlign w:val="center"/>
          </w:tcPr>
          <w:p>
            <w:pPr>
              <w:keepNext/>
              <w:spacing w:line="252" w:lineRule="auto" w:before="60" w:after="60"/>
              <w:jc w:val="center"/>
            </w:pPr>
            <w:r>
              <w:rPr>
                <w:b w:val="0"/>
                <w:sz w:val="18"/>
              </w:rPr>
              <w:t>+19.0 to +63.5</w:t>
            </w:r>
          </w:p>
        </w:tc>
        <w:tc>
          <w:tcPr>
            <w:tcW w:type="dxa" w:w="2218"/>
            <w:vAlign w:val="center"/>
          </w:tcPr>
          <w:p>
            <w:pPr>
              <w:keepNext/>
              <w:spacing w:line="252" w:lineRule="auto" w:before="60" w:after="60"/>
              <w:jc w:val="center"/>
            </w:pPr>
            <w:r>
              <w:rPr>
                <w:b w:val="0"/>
                <w:sz w:val="18"/>
              </w:rPr>
              <w:t>Supported retention</w:t>
            </w:r>
          </w:p>
        </w:tc>
      </w:tr>
      <w:tr>
        <w:trPr>
          <w:cantSplit/>
        </w:trPr>
        <w:tc>
          <w:tcPr>
            <w:tcW w:type="dxa" w:w="1109"/>
            <w:vAlign w:val="center"/>
          </w:tcPr>
          <w:p>
            <w:pPr>
              <w:keepNext/>
              <w:spacing w:line="252" w:lineRule="auto" w:before="60" w:after="60"/>
              <w:jc w:val="left"/>
            </w:pPr>
            <w:r>
              <w:rPr>
                <w:b w:val="0"/>
                <w:sz w:val="18"/>
              </w:rPr>
              <w:t>PyTorch</w:t>
            </w:r>
          </w:p>
        </w:tc>
        <w:tc>
          <w:tcPr>
            <w:tcW w:type="dxa" w:w="1305"/>
            <w:vAlign w:val="center"/>
          </w:tcPr>
          <w:p>
            <w:pPr>
              <w:keepNext/>
              <w:spacing w:line="252" w:lineRule="auto" w:before="60" w:after="60"/>
              <w:jc w:val="center"/>
            </w:pPr>
            <w:r>
              <w:rPr>
                <w:b w:val="0"/>
                <w:sz w:val="18"/>
              </w:rPr>
              <w:t>-29.4</w:t>
            </w:r>
          </w:p>
        </w:tc>
        <w:tc>
          <w:tcPr>
            <w:tcW w:type="dxa" w:w="1435"/>
            <w:vAlign w:val="center"/>
          </w:tcPr>
          <w:p>
            <w:pPr>
              <w:keepNext/>
              <w:spacing w:line="252" w:lineRule="auto" w:before="60" w:after="60"/>
              <w:jc w:val="center"/>
            </w:pPr>
            <w:r>
              <w:rPr>
                <w:b w:val="0"/>
                <w:sz w:val="18"/>
              </w:rPr>
              <w:t>-1.6</w:t>
            </w:r>
          </w:p>
        </w:tc>
        <w:tc>
          <w:tcPr>
            <w:tcW w:type="dxa" w:w="1435"/>
            <w:vAlign w:val="center"/>
          </w:tcPr>
          <w:p>
            <w:pPr>
              <w:keepNext/>
              <w:spacing w:line="252" w:lineRule="auto" w:before="60" w:after="60"/>
              <w:jc w:val="center"/>
            </w:pPr>
            <w:r>
              <w:rPr>
                <w:b w:val="0"/>
                <w:sz w:val="18"/>
              </w:rPr>
              <w:t>+1.2</w:t>
            </w:r>
          </w:p>
        </w:tc>
        <w:tc>
          <w:tcPr>
            <w:tcW w:type="dxa" w:w="2022"/>
            <w:vAlign w:val="center"/>
          </w:tcPr>
          <w:p>
            <w:pPr>
              <w:keepNext/>
              <w:spacing w:line="252" w:lineRule="auto" w:before="60" w:after="60"/>
              <w:jc w:val="center"/>
            </w:pPr>
            <w:r>
              <w:rPr>
                <w:b w:val="0"/>
                <w:sz w:val="18"/>
              </w:rPr>
              <w:t>-1.6 to +9.5</w:t>
            </w:r>
          </w:p>
        </w:tc>
        <w:tc>
          <w:tcPr>
            <w:tcW w:type="dxa" w:w="2218"/>
            <w:vAlign w:val="center"/>
          </w:tcPr>
          <w:p>
            <w:pPr>
              <w:keepNext/>
              <w:spacing w:line="252" w:lineRule="auto" w:before="60" w:after="60"/>
              <w:jc w:val="center"/>
            </w:pPr>
            <w:r>
              <w:rPr>
                <w:b w:val="0"/>
                <w:sz w:val="18"/>
              </w:rPr>
              <w:t>Conditional reversal; bounds overlap</w:t>
            </w:r>
          </w:p>
        </w:tc>
      </w:tr>
      <w:tr>
        <w:trPr>
          <w:cantSplit/>
        </w:trPr>
        <w:tc>
          <w:tcPr>
            <w:tcW w:type="dxa" w:w="1109"/>
            <w:vAlign w:val="center"/>
          </w:tcPr>
          <w:p>
            <w:pPr>
              <w:keepNext/>
              <w:spacing w:line="252" w:lineRule="auto" w:before="60" w:after="60"/>
              <w:jc w:val="left"/>
            </w:pPr>
            <w:r>
              <w:rPr>
                <w:b w:val="0"/>
                <w:sz w:val="18"/>
              </w:rPr>
              <w:t>Linux</w:t>
            </w:r>
          </w:p>
        </w:tc>
        <w:tc>
          <w:tcPr>
            <w:tcW w:type="dxa" w:w="1305"/>
            <w:vAlign w:val="center"/>
          </w:tcPr>
          <w:p>
            <w:pPr>
              <w:keepNext/>
              <w:spacing w:line="252" w:lineRule="auto" w:before="60" w:after="60"/>
              <w:jc w:val="center"/>
            </w:pPr>
            <w:r>
              <w:rPr>
                <w:b w:val="0"/>
                <w:sz w:val="18"/>
              </w:rPr>
              <w:t>+23.8</w:t>
            </w:r>
          </w:p>
        </w:tc>
        <w:tc>
          <w:tcPr>
            <w:tcW w:type="dxa" w:w="1435"/>
            <w:vAlign w:val="center"/>
          </w:tcPr>
          <w:p>
            <w:pPr>
              <w:keepNext/>
              <w:spacing w:line="252" w:lineRule="auto" w:before="60" w:after="60"/>
              <w:jc w:val="center"/>
            </w:pPr>
            <w:r>
              <w:rPr>
                <w:b w:val="0"/>
                <w:sz w:val="18"/>
              </w:rPr>
              <w:t>+27.5</w:t>
            </w:r>
          </w:p>
        </w:tc>
        <w:tc>
          <w:tcPr>
            <w:tcW w:type="dxa" w:w="1435"/>
            <w:vAlign w:val="center"/>
          </w:tcPr>
          <w:p>
            <w:pPr>
              <w:keepNext/>
              <w:spacing w:line="252" w:lineRule="auto" w:before="60" w:after="60"/>
              <w:jc w:val="center"/>
            </w:pPr>
            <w:r>
              <w:rPr>
                <w:b w:val="0"/>
                <w:sz w:val="18"/>
              </w:rPr>
              <w:t>+33.3</w:t>
            </w:r>
          </w:p>
        </w:tc>
        <w:tc>
          <w:tcPr>
            <w:tcW w:type="dxa" w:w="2022"/>
            <w:vAlign w:val="center"/>
          </w:tcPr>
          <w:p>
            <w:pPr>
              <w:keepNext/>
              <w:spacing w:line="252" w:lineRule="auto" w:before="60" w:after="60"/>
              <w:jc w:val="center"/>
            </w:pPr>
            <w:r>
              <w:rPr>
                <w:b w:val="0"/>
                <w:sz w:val="18"/>
              </w:rPr>
              <w:t>+27.5 to +33.8</w:t>
            </w:r>
          </w:p>
        </w:tc>
        <w:tc>
          <w:tcPr>
            <w:tcW w:type="dxa" w:w="2218"/>
            <w:vAlign w:val="center"/>
          </w:tcPr>
          <w:p>
            <w:pPr>
              <w:keepNext/>
              <w:spacing w:line="252" w:lineRule="auto" w:before="60" w:after="60"/>
              <w:jc w:val="center"/>
            </w:pPr>
            <w:r>
              <w:rPr>
                <w:b w:val="0"/>
                <w:sz w:val="18"/>
              </w:rPr>
              <w:t>Supported retention</w:t>
            </w:r>
          </w:p>
        </w:tc>
      </w:tr>
    </w:tbl>
    <w:p>
      <w:pPr>
        <w:spacing w:line="264" w:lineRule="auto" w:after="180"/>
      </w:pPr>
      <w:r>
        <w:rPr>
          <w:sz w:val="18"/>
        </w:rPr>
        <w:t>Notes: All gaps are Galbot minus XSquare. Task bases are 18 and 21 advertisements for Python and PyTorch, and 16 and 10 for Linux. M and confirmed Q use these full bases. Conditional Q excludes each firm’s U cases. Q difference bounds assign unknowns in the two firms to opposite endpoints. All three comparisons pass the minimum evaluable-cell threshold of ten; they reuse the same two firms and are not independent replications. Positive bounds support Galbot’s higher direct-expression share. Source: calculations from the captured job-advertisement corpus.</w:t>
      </w:r>
    </w:p>
    <w:p>
      <w:r>
        <w:br w:type="page"/>
      </w:r>
    </w:p>
    <w:p>
      <w:pPr>
        <w:pStyle w:val="Caption"/>
      </w:pPr>
      <w:r>
        <w:t>Table III. Conditional ordering and fixed-base bounds for all eligible comparisons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69"/>
        <w:gridCol w:w="2011"/>
        <w:gridCol w:w="710"/>
        <w:gridCol w:w="1361"/>
        <w:gridCol w:w="1242"/>
        <w:gridCol w:w="1834"/>
        <w:gridCol w:w="1597"/>
      </w:tblGrid>
      <w:tr>
        <w:trPr>
          <w:cantSplit/>
          <w:tblHeader/>
        </w:trPr>
        <w:tc>
          <w:tcPr>
            <w:tcW w:type="dxa" w:w="769"/>
            <w:vAlign w:val="center"/>
            <w:shd w:fill="F0F0F0"/>
          </w:tcPr>
          <w:p>
            <w:pPr>
              <w:keepNext/>
              <w:spacing w:line="252" w:lineRule="auto" w:before="60" w:after="60"/>
              <w:jc w:val="left"/>
            </w:pPr>
            <w:r>
              <w:rPr>
                <w:b/>
                <w:sz w:val="18"/>
              </w:rPr>
              <w:t>Min N</w:t>
            </w:r>
          </w:p>
        </w:tc>
        <w:tc>
          <w:tcPr>
            <w:tcW w:type="dxa" w:w="2011"/>
            <w:vAlign w:val="center"/>
            <w:shd w:fill="F0F0F0"/>
          </w:tcPr>
          <w:p>
            <w:pPr>
              <w:keepNext/>
              <w:spacing w:line="252" w:lineRule="auto" w:before="60" w:after="60"/>
              <w:jc w:val="center"/>
            </w:pPr>
            <w:r>
              <w:rPr>
                <w:b/>
                <w:sz w:val="18"/>
              </w:rPr>
              <w:t>Task and technology</w:t>
            </w:r>
          </w:p>
        </w:tc>
        <w:tc>
          <w:tcPr>
            <w:tcW w:type="dxa" w:w="710"/>
            <w:vAlign w:val="center"/>
            <w:shd w:fill="F0F0F0"/>
          </w:tcPr>
          <w:p>
            <w:pPr>
              <w:keepNext/>
              <w:spacing w:line="252" w:lineRule="auto" w:before="60" w:after="60"/>
              <w:jc w:val="center"/>
            </w:pPr>
            <w:r>
              <w:rPr>
                <w:b/>
                <w:sz w:val="18"/>
              </w:rPr>
              <w:t>Pairs</w:t>
            </w:r>
          </w:p>
        </w:tc>
        <w:tc>
          <w:tcPr>
            <w:tcW w:type="dxa" w:w="1361"/>
            <w:vAlign w:val="center"/>
            <w:shd w:fill="F0F0F0"/>
          </w:tcPr>
          <w:p>
            <w:pPr>
              <w:keepNext/>
              <w:spacing w:line="252" w:lineRule="auto" w:before="60" w:after="60"/>
              <w:jc w:val="center"/>
            </w:pPr>
            <w:r>
              <w:rPr>
                <w:b/>
                <w:sz w:val="18"/>
              </w:rPr>
              <w:t>Supported retention</w:t>
            </w:r>
          </w:p>
        </w:tc>
        <w:tc>
          <w:tcPr>
            <w:tcW w:type="dxa" w:w="1242"/>
            <w:vAlign w:val="center"/>
            <w:shd w:fill="F0F0F0"/>
          </w:tcPr>
          <w:p>
            <w:pPr>
              <w:keepNext/>
              <w:spacing w:line="252" w:lineRule="auto" w:before="60" w:after="60"/>
              <w:jc w:val="center"/>
            </w:pPr>
            <w:r>
              <w:rPr>
                <w:b/>
                <w:sz w:val="18"/>
              </w:rPr>
              <w:t>Supported reversal</w:t>
            </w:r>
          </w:p>
        </w:tc>
        <w:tc>
          <w:tcPr>
            <w:tcW w:type="dxa" w:w="1834"/>
            <w:vAlign w:val="center"/>
            <w:shd w:fill="F0F0F0"/>
          </w:tcPr>
          <w:p>
            <w:pPr>
              <w:keepNext/>
              <w:spacing w:line="252" w:lineRule="auto" w:before="60" w:after="60"/>
              <w:jc w:val="center"/>
            </w:pPr>
            <w:r>
              <w:rPr>
                <w:b/>
                <w:sz w:val="18"/>
              </w:rPr>
              <w:t>Conditional reversal with overlap</w:t>
            </w:r>
          </w:p>
        </w:tc>
        <w:tc>
          <w:tcPr>
            <w:tcW w:type="dxa" w:w="1597"/>
            <w:vAlign w:val="center"/>
            <w:shd w:fill="F0F0F0"/>
          </w:tcPr>
          <w:p>
            <w:pPr>
              <w:keepNext/>
              <w:spacing w:line="252" w:lineRule="auto" w:before="60" w:after="60"/>
              <w:jc w:val="center"/>
            </w:pPr>
            <w:r>
              <w:rPr>
                <w:b/>
                <w:sz w:val="18"/>
              </w:rPr>
              <w:t>Same direction with overlap</w:t>
            </w:r>
          </w:p>
        </w:tc>
      </w:tr>
      <w:tr>
        <w:trPr>
          <w:cantSplit/>
        </w:trPr>
        <w:tc>
          <w:tcPr>
            <w:tcW w:type="dxa" w:w="769"/>
            <w:vAlign w:val="center"/>
          </w:tcPr>
          <w:p>
            <w:pPr>
              <w:keepNext/>
              <w:spacing w:line="252" w:lineRule="auto" w:before="60" w:after="60"/>
              <w:jc w:val="left"/>
            </w:pPr>
            <w:r>
              <w:rPr>
                <w:b w:val="0"/>
                <w:sz w:val="18"/>
              </w:rPr>
              <w:t>10</w:t>
            </w:r>
          </w:p>
        </w:tc>
        <w:tc>
          <w:tcPr>
            <w:tcW w:type="dxa" w:w="2011"/>
            <w:vAlign w:val="center"/>
          </w:tcPr>
          <w:p>
            <w:pPr>
              <w:keepNext/>
              <w:spacing w:line="252" w:lineRule="auto" w:before="60" w:after="60"/>
              <w:jc w:val="center"/>
            </w:pPr>
            <w:r>
              <w:rPr>
                <w:b w:val="0"/>
                <w:sz w:val="18"/>
              </w:rPr>
              <w:t>All combinations</w:t>
            </w:r>
          </w:p>
        </w:tc>
        <w:tc>
          <w:tcPr>
            <w:tcW w:type="dxa" w:w="710"/>
            <w:vAlign w:val="center"/>
          </w:tcPr>
          <w:p>
            <w:pPr>
              <w:keepNext/>
              <w:spacing w:line="252" w:lineRule="auto" w:before="60" w:after="60"/>
              <w:jc w:val="center"/>
            </w:pPr>
            <w:r>
              <w:rPr>
                <w:b w:val="0"/>
                <w:sz w:val="18"/>
              </w:rPr>
              <w:t>3</w:t>
            </w:r>
          </w:p>
        </w:tc>
        <w:tc>
          <w:tcPr>
            <w:tcW w:type="dxa" w:w="1361"/>
            <w:vAlign w:val="center"/>
          </w:tcPr>
          <w:p>
            <w:pPr>
              <w:keepNext/>
              <w:spacing w:line="252" w:lineRule="auto" w:before="60" w:after="60"/>
              <w:jc w:val="center"/>
            </w:pPr>
            <w:r>
              <w:rPr>
                <w:b w:val="0"/>
                <w:sz w:val="18"/>
              </w:rPr>
              <w:t>2</w:t>
            </w:r>
          </w:p>
        </w:tc>
        <w:tc>
          <w:tcPr>
            <w:tcW w:type="dxa" w:w="1242"/>
            <w:vAlign w:val="center"/>
          </w:tcPr>
          <w:p>
            <w:pPr>
              <w:keepNext/>
              <w:spacing w:line="252" w:lineRule="auto" w:before="60" w:after="60"/>
              <w:jc w:val="center"/>
            </w:pPr>
            <w:r>
              <w:rPr>
                <w:b w:val="0"/>
                <w:sz w:val="18"/>
              </w:rPr>
              <w:t>0</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learning</w:t>
              <w:br/>
              <w:t>Python</w:t>
            </w:r>
          </w:p>
        </w:tc>
        <w:tc>
          <w:tcPr>
            <w:tcW w:type="dxa" w:w="710"/>
            <w:vAlign w:val="center"/>
          </w:tcPr>
          <w:p>
            <w:pPr>
              <w:keepNext/>
              <w:spacing w:line="252" w:lineRule="auto" w:before="60" w:after="60"/>
              <w:jc w:val="center"/>
            </w:pPr>
            <w:r>
              <w:rPr>
                <w:b w:val="0"/>
                <w:sz w:val="18"/>
              </w:rPr>
              <w:t>6</w:t>
            </w:r>
          </w:p>
        </w:tc>
        <w:tc>
          <w:tcPr>
            <w:tcW w:type="dxa" w:w="1361"/>
            <w:vAlign w:val="center"/>
          </w:tcPr>
          <w:p>
            <w:pPr>
              <w:keepNext/>
              <w:spacing w:line="252" w:lineRule="auto" w:before="60" w:after="60"/>
              <w:jc w:val="center"/>
            </w:pPr>
            <w:r>
              <w:rPr>
                <w:b w:val="0"/>
                <w:sz w:val="18"/>
              </w:rPr>
              <w:t>3</w:t>
            </w:r>
          </w:p>
        </w:tc>
        <w:tc>
          <w:tcPr>
            <w:tcW w:type="dxa" w:w="1242"/>
            <w:vAlign w:val="center"/>
          </w:tcPr>
          <w:p>
            <w:pPr>
              <w:keepNext/>
              <w:spacing w:line="252" w:lineRule="auto" w:before="60" w:after="60"/>
              <w:jc w:val="center"/>
            </w:pPr>
            <w:r>
              <w:rPr>
                <w:b w:val="0"/>
                <w:sz w:val="18"/>
              </w:rPr>
              <w:t>2</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learning</w:t>
              <w:br/>
              <w:t>PyTorch</w:t>
            </w:r>
          </w:p>
        </w:tc>
        <w:tc>
          <w:tcPr>
            <w:tcW w:type="dxa" w:w="710"/>
            <w:vAlign w:val="center"/>
          </w:tcPr>
          <w:p>
            <w:pPr>
              <w:keepNext/>
              <w:spacing w:line="252" w:lineRule="auto" w:before="60" w:after="60"/>
              <w:jc w:val="center"/>
            </w:pPr>
            <w:r>
              <w:rPr>
                <w:b w:val="0"/>
                <w:sz w:val="18"/>
              </w:rPr>
              <w:t>6</w:t>
            </w:r>
          </w:p>
        </w:tc>
        <w:tc>
          <w:tcPr>
            <w:tcW w:type="dxa" w:w="1361"/>
            <w:vAlign w:val="center"/>
          </w:tcPr>
          <w:p>
            <w:pPr>
              <w:keepNext/>
              <w:spacing w:line="252" w:lineRule="auto" w:before="60" w:after="60"/>
              <w:jc w:val="center"/>
            </w:pPr>
            <w:r>
              <w:rPr>
                <w:b w:val="0"/>
                <w:sz w:val="18"/>
              </w:rPr>
              <w:t>3</w:t>
            </w:r>
          </w:p>
        </w:tc>
        <w:tc>
          <w:tcPr>
            <w:tcW w:type="dxa" w:w="1242"/>
            <w:vAlign w:val="center"/>
          </w:tcPr>
          <w:p>
            <w:pPr>
              <w:keepNext/>
              <w:spacing w:line="252" w:lineRule="auto" w:before="60" w:after="60"/>
              <w:jc w:val="center"/>
            </w:pPr>
            <w:r>
              <w:rPr>
                <w:b w:val="0"/>
                <w:sz w:val="18"/>
              </w:rPr>
              <w:t>1</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1</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runtime</w:t>
              <w:br/>
              <w:t>C++</w:t>
            </w:r>
          </w:p>
        </w:tc>
        <w:tc>
          <w:tcPr>
            <w:tcW w:type="dxa" w:w="710"/>
            <w:vAlign w:val="center"/>
          </w:tcPr>
          <w:p>
            <w:pPr>
              <w:keepNext/>
              <w:spacing w:line="252" w:lineRule="auto" w:before="60" w:after="60"/>
              <w:jc w:val="center"/>
            </w:pPr>
            <w:r>
              <w:rPr>
                <w:b w:val="0"/>
                <w:sz w:val="18"/>
              </w:rPr>
              <w:t>3</w:t>
            </w:r>
          </w:p>
        </w:tc>
        <w:tc>
          <w:tcPr>
            <w:tcW w:type="dxa" w:w="1361"/>
            <w:vAlign w:val="center"/>
          </w:tcPr>
          <w:p>
            <w:pPr>
              <w:keepNext/>
              <w:spacing w:line="252" w:lineRule="auto" w:before="60" w:after="60"/>
              <w:jc w:val="center"/>
            </w:pPr>
            <w:r>
              <w:rPr>
                <w:b w:val="0"/>
                <w:sz w:val="18"/>
              </w:rPr>
              <w:t>0</w:t>
            </w:r>
          </w:p>
        </w:tc>
        <w:tc>
          <w:tcPr>
            <w:tcW w:type="dxa" w:w="1242"/>
            <w:vAlign w:val="center"/>
          </w:tcPr>
          <w:p>
            <w:pPr>
              <w:keepNext/>
              <w:spacing w:line="252" w:lineRule="auto" w:before="60" w:after="60"/>
              <w:jc w:val="center"/>
            </w:pPr>
            <w:r>
              <w:rPr>
                <w:b w:val="0"/>
                <w:sz w:val="18"/>
              </w:rPr>
              <w:t>1</w:t>
            </w:r>
          </w:p>
        </w:tc>
        <w:tc>
          <w:tcPr>
            <w:tcW w:type="dxa" w:w="1834"/>
            <w:vAlign w:val="center"/>
          </w:tcPr>
          <w:p>
            <w:pPr>
              <w:keepNext/>
              <w:spacing w:line="252" w:lineRule="auto" w:before="60" w:after="60"/>
              <w:jc w:val="center"/>
            </w:pPr>
            <w:r>
              <w:rPr>
                <w:b w:val="0"/>
                <w:sz w:val="18"/>
              </w:rPr>
              <w:t>1</w:t>
            </w:r>
          </w:p>
        </w:tc>
        <w:tc>
          <w:tcPr>
            <w:tcW w:type="dxa" w:w="1597"/>
            <w:vAlign w:val="center"/>
          </w:tcPr>
          <w:p>
            <w:pPr>
              <w:keepNext/>
              <w:spacing w:line="252" w:lineRule="auto" w:before="60" w:after="60"/>
              <w:jc w:val="center"/>
            </w:pPr>
            <w:r>
              <w:rPr>
                <w:b w:val="0"/>
                <w:sz w:val="18"/>
              </w:rPr>
              <w:t>1</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Robot runtime</w:t>
              <w:br/>
              <w:t>Linux</w:t>
            </w:r>
          </w:p>
        </w:tc>
        <w:tc>
          <w:tcPr>
            <w:tcW w:type="dxa" w:w="710"/>
            <w:vAlign w:val="center"/>
          </w:tcPr>
          <w:p>
            <w:pPr>
              <w:keepNext/>
              <w:spacing w:line="252" w:lineRule="auto" w:before="60" w:after="60"/>
              <w:jc w:val="center"/>
            </w:pPr>
            <w:r>
              <w:rPr>
                <w:b w:val="0"/>
                <w:sz w:val="18"/>
              </w:rPr>
              <w:t>15</w:t>
            </w:r>
          </w:p>
        </w:tc>
        <w:tc>
          <w:tcPr>
            <w:tcW w:type="dxa" w:w="1361"/>
            <w:vAlign w:val="center"/>
          </w:tcPr>
          <w:p>
            <w:pPr>
              <w:keepNext/>
              <w:spacing w:line="252" w:lineRule="auto" w:before="60" w:after="60"/>
              <w:jc w:val="center"/>
            </w:pPr>
            <w:r>
              <w:rPr>
                <w:b w:val="0"/>
                <w:sz w:val="18"/>
              </w:rPr>
              <w:t>14</w:t>
            </w:r>
          </w:p>
        </w:tc>
        <w:tc>
          <w:tcPr>
            <w:tcW w:type="dxa" w:w="1242"/>
            <w:vAlign w:val="center"/>
          </w:tcPr>
          <w:p>
            <w:pPr>
              <w:keepNext/>
              <w:spacing w:line="252" w:lineRule="auto" w:before="60" w:after="60"/>
              <w:jc w:val="center"/>
            </w:pPr>
            <w:r>
              <w:rPr>
                <w:b w:val="0"/>
                <w:sz w:val="18"/>
              </w:rPr>
              <w:t>1</w:t>
            </w:r>
          </w:p>
        </w:tc>
        <w:tc>
          <w:tcPr>
            <w:tcW w:type="dxa" w:w="1834"/>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Board circuitry</w:t>
              <w:br/>
              <w:t>Altium</w:t>
            </w:r>
          </w:p>
        </w:tc>
        <w:tc>
          <w:tcPr>
            <w:tcW w:type="dxa" w:w="710"/>
            <w:vAlign w:val="center"/>
          </w:tcPr>
          <w:p>
            <w:pPr>
              <w:keepNext/>
              <w:spacing w:line="252" w:lineRule="auto" w:before="60" w:after="60"/>
              <w:jc w:val="center"/>
            </w:pPr>
            <w:r>
              <w:rPr>
                <w:b w:val="0"/>
                <w:sz w:val="18"/>
              </w:rPr>
              <w:t>1</w:t>
            </w:r>
          </w:p>
        </w:tc>
        <w:tc>
          <w:tcPr>
            <w:tcW w:type="dxa" w:w="1361"/>
            <w:vAlign w:val="center"/>
          </w:tcPr>
          <w:p>
            <w:pPr>
              <w:keepNext/>
              <w:spacing w:line="252" w:lineRule="auto" w:before="60" w:after="60"/>
              <w:jc w:val="center"/>
            </w:pPr>
            <w:r>
              <w:rPr>
                <w:b w:val="0"/>
                <w:sz w:val="18"/>
              </w:rPr>
              <w:t>1</w:t>
            </w:r>
          </w:p>
        </w:tc>
        <w:tc>
          <w:tcPr>
            <w:tcW w:type="dxa" w:w="1242"/>
            <w:vAlign w:val="center"/>
          </w:tcPr>
          <w:p>
            <w:pPr>
              <w:keepNext/>
              <w:spacing w:line="252" w:lineRule="auto" w:before="60" w:after="60"/>
              <w:jc w:val="center"/>
            </w:pPr>
            <w:r>
              <w:rPr>
                <w:b w:val="0"/>
                <w:sz w:val="18"/>
              </w:rPr>
              <w:t>0</w:t>
            </w:r>
          </w:p>
        </w:tc>
        <w:tc>
          <w:tcPr>
            <w:tcW w:type="dxa" w:w="1834"/>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Board circuitry</w:t>
              <w:br/>
              <w:t>EMC/SI/PI</w:t>
            </w:r>
          </w:p>
        </w:tc>
        <w:tc>
          <w:tcPr>
            <w:tcW w:type="dxa" w:w="710"/>
            <w:vAlign w:val="center"/>
          </w:tcPr>
          <w:p>
            <w:pPr>
              <w:keepNext/>
              <w:spacing w:line="252" w:lineRule="auto" w:before="60" w:after="60"/>
              <w:jc w:val="center"/>
            </w:pPr>
            <w:r>
              <w:rPr>
                <w:b w:val="0"/>
                <w:sz w:val="18"/>
              </w:rPr>
              <w:t>1</w:t>
            </w:r>
          </w:p>
        </w:tc>
        <w:tc>
          <w:tcPr>
            <w:tcW w:type="dxa" w:w="1361"/>
            <w:vAlign w:val="center"/>
          </w:tcPr>
          <w:p>
            <w:pPr>
              <w:keepNext/>
              <w:spacing w:line="252" w:lineRule="auto" w:before="60" w:after="60"/>
              <w:jc w:val="center"/>
            </w:pPr>
            <w:r>
              <w:rPr>
                <w:b w:val="0"/>
                <w:sz w:val="18"/>
              </w:rPr>
              <w:t>1</w:t>
            </w:r>
          </w:p>
        </w:tc>
        <w:tc>
          <w:tcPr>
            <w:tcW w:type="dxa" w:w="1242"/>
            <w:vAlign w:val="center"/>
          </w:tcPr>
          <w:p>
            <w:pPr>
              <w:keepNext/>
              <w:spacing w:line="252" w:lineRule="auto" w:before="60" w:after="60"/>
              <w:jc w:val="center"/>
            </w:pPr>
            <w:r>
              <w:rPr>
                <w:b w:val="0"/>
                <w:sz w:val="18"/>
              </w:rPr>
              <w:t>0</w:t>
            </w:r>
          </w:p>
        </w:tc>
        <w:tc>
          <w:tcPr>
            <w:tcW w:type="dxa" w:w="1834"/>
            <w:vAlign w:val="center"/>
          </w:tcPr>
          <w:p>
            <w:pPr>
              <w:keepNext/>
              <w:spacing w:line="252" w:lineRule="auto" w:before="60" w:after="60"/>
              <w:jc w:val="center"/>
            </w:pPr>
            <w:r>
              <w:rPr>
                <w:b w:val="0"/>
                <w:sz w:val="18"/>
              </w:rPr>
              <w:t>0</w:t>
            </w:r>
          </w:p>
        </w:tc>
        <w:tc>
          <w:tcPr>
            <w:tcW w:type="dxa" w:w="1597"/>
            <w:vAlign w:val="center"/>
          </w:tcPr>
          <w:p>
            <w:pPr>
              <w:keepNext/>
              <w:spacing w:line="252" w:lineRule="auto" w:before="60" w:after="60"/>
              <w:jc w:val="center"/>
            </w:pPr>
            <w:r>
              <w:rPr>
                <w:b w:val="0"/>
                <w:sz w:val="18"/>
              </w:rPr>
              <w:t>0</w:t>
            </w:r>
          </w:p>
        </w:tc>
      </w:tr>
      <w:tr>
        <w:trPr>
          <w:cantSplit/>
        </w:trPr>
        <w:tc>
          <w:tcPr>
            <w:tcW w:type="dxa" w:w="769"/>
            <w:vAlign w:val="center"/>
          </w:tcPr>
          <w:p>
            <w:pPr>
              <w:keepNext/>
              <w:spacing w:line="252" w:lineRule="auto" w:before="60" w:after="60"/>
              <w:jc w:val="left"/>
            </w:pPr>
            <w:r>
              <w:rPr>
                <w:b w:val="0"/>
                <w:sz w:val="18"/>
              </w:rPr>
              <w:t>5</w:t>
            </w:r>
          </w:p>
        </w:tc>
        <w:tc>
          <w:tcPr>
            <w:tcW w:type="dxa" w:w="2011"/>
            <w:vAlign w:val="center"/>
          </w:tcPr>
          <w:p>
            <w:pPr>
              <w:keepNext/>
              <w:spacing w:line="252" w:lineRule="auto" w:before="60" w:after="60"/>
              <w:jc w:val="center"/>
            </w:pPr>
            <w:r>
              <w:rPr>
                <w:b w:val="0"/>
                <w:sz w:val="18"/>
              </w:rPr>
              <w:t>All combinations</w:t>
            </w:r>
          </w:p>
        </w:tc>
        <w:tc>
          <w:tcPr>
            <w:tcW w:type="dxa" w:w="710"/>
            <w:vAlign w:val="center"/>
          </w:tcPr>
          <w:p>
            <w:pPr>
              <w:keepNext/>
              <w:spacing w:line="252" w:lineRule="auto" w:before="60" w:after="60"/>
              <w:jc w:val="center"/>
            </w:pPr>
            <w:r>
              <w:rPr>
                <w:b w:val="0"/>
                <w:sz w:val="18"/>
              </w:rPr>
              <w:t>32</w:t>
            </w:r>
          </w:p>
        </w:tc>
        <w:tc>
          <w:tcPr>
            <w:tcW w:type="dxa" w:w="1361"/>
            <w:vAlign w:val="center"/>
          </w:tcPr>
          <w:p>
            <w:pPr>
              <w:keepNext/>
              <w:spacing w:line="252" w:lineRule="auto" w:before="60" w:after="60"/>
              <w:jc w:val="center"/>
            </w:pPr>
            <w:r>
              <w:rPr>
                <w:b w:val="0"/>
                <w:sz w:val="18"/>
              </w:rPr>
              <w:t>22</w:t>
            </w:r>
          </w:p>
        </w:tc>
        <w:tc>
          <w:tcPr>
            <w:tcW w:type="dxa" w:w="1242"/>
            <w:vAlign w:val="center"/>
          </w:tcPr>
          <w:p>
            <w:pPr>
              <w:keepNext/>
              <w:spacing w:line="252" w:lineRule="auto" w:before="60" w:after="60"/>
              <w:jc w:val="center"/>
            </w:pPr>
            <w:r>
              <w:rPr>
                <w:b w:val="0"/>
                <w:sz w:val="18"/>
              </w:rPr>
              <w:t>5</w:t>
            </w:r>
          </w:p>
        </w:tc>
        <w:tc>
          <w:tcPr>
            <w:tcW w:type="dxa" w:w="1834"/>
            <w:vAlign w:val="center"/>
          </w:tcPr>
          <w:p>
            <w:pPr>
              <w:keepNext/>
              <w:spacing w:line="252" w:lineRule="auto" w:before="60" w:after="60"/>
              <w:jc w:val="center"/>
            </w:pPr>
            <w:r>
              <w:rPr>
                <w:b w:val="0"/>
                <w:sz w:val="18"/>
              </w:rPr>
              <w:t>3</w:t>
            </w:r>
          </w:p>
        </w:tc>
        <w:tc>
          <w:tcPr>
            <w:tcW w:type="dxa" w:w="1597"/>
            <w:vAlign w:val="center"/>
          </w:tcPr>
          <w:p>
            <w:pPr>
              <w:keepNext/>
              <w:spacing w:line="252" w:lineRule="auto" w:before="60" w:after="60"/>
              <w:jc w:val="center"/>
            </w:pPr>
            <w:r>
              <w:rPr>
                <w:b w:val="0"/>
                <w:sz w:val="18"/>
              </w:rPr>
              <w:t>2</w:t>
            </w:r>
          </w:p>
        </w:tc>
      </w:tr>
    </w:tbl>
    <w:p>
      <w:pPr>
        <w:spacing w:line="264" w:lineRule="auto" w:after="180"/>
      </w:pPr>
      <w:r>
        <w:rPr>
          <w:sz w:val="18"/>
        </w:rPr>
        <w:t>Notes: Each firm must meet the minimum separately for evaluable M, G and Q; N is their minimum. Retention and reversal are relative to mention ordering. Supported categories require the Q difference bounds to exclude zero. Overlap categories describe conditional point ordering only. No mention tie, conditional tie or zero bound endpoint occurs. The 32 comparisons at five include all three comparisons at ten; rows share firms and advertisements. Bounds are finite-corpus assignment ranges, not sampling intervals. Source: calculations from the captured job-advertisement corpus.</w:t>
      </w:r>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SimSu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SimSu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SimSu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SimSu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Mentions and Direct Qualification Expressions in Embodied AI Recruitment</dc:title>
  <dc:subject/>
  <dc:creator/>
  <cp:keywords/>
  <dc:description/>
  <cp:lastModifiedBy/>
  <cp:revision>1</cp:revision>
  <dcterms:created xsi:type="dcterms:W3CDTF">2013-12-23T23:15:00Z</dcterms:created>
  <dcterms:modified xsi:type="dcterms:W3CDTF">2013-12-23T23:15:00Z</dcterms:modified>
  <cp:category/>
</cp:coreProperties>
</file>