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AI assisted research working draft</w:t>
      </w:r>
    </w:p>
    <w:p>
      <w:r>
        <w:rPr>
          <w:sz w:val="18"/>
        </w:rPr>
        <w:t>Prepared for author review. Publisher policy and author declarations remain the author’s responsibility.</w:t>
      </w:r>
    </w:p>
    <w:p>
      <w:pPr>
        <w:pStyle w:val="Title"/>
      </w:pPr>
      <w:r>
        <w:t>Supplement to  What Counts as a Technology Qualification in Embodied AI Hiring</w:t>
      </w:r>
    </w:p>
    <w:p>
      <w:pPr>
        <w:pStyle w:val="Heading1"/>
      </w:pPr>
      <w:r>
        <w:t>S1  Corpus construction and identity</w:t>
      </w:r>
    </w:p>
    <w:p>
      <w:r>
        <w:t>The accepted corpus contains 1,654 versioned public advertisements from 24 entities. The first wave captured 610 advertisements from eight firms on 31 August 2026. The second captured 1,044 advertisements from 16 entities on 11 September 2026. Selection required an identifiable organization, research relevance, readable current details and stable source identifiers. Failed sources were recorded during construction. The corpus is purposive and does not rank excluded firms.</w:t>
      </w:r>
    </w:p>
    <w:p>
      <w:r>
        <w:t>Composite identity joins corpus, entity, source advertisement identifier and text-version hash. Headquarters, advertised location and source language remain distinct. Coding uses the captured language; country is not inferred from language. The 23-company comparison excludes the separately bounded 24-advertisement Amazon Frontier AI and Robotics team.</w:t>
      </w:r>
    </w:p>
    <w:p>
      <w:r>
        <w:t>Primary function follows the advertisement's main continuing deliverable. The technology sample intersects function with a responsibility-defined primary task. It contains 105 robot-learning/model-development advertisements, 87 advertisements in a broader robotics-software task and 56 board-circuitry advertisements. The robotics-software task includes relevant product-stack and infrastructure roles; it is not a pure runtime or middleware population. The tasks are mutually exclusive. Each advertisement has exactly two fixed targets, producing 496 rows.</w:t>
      </w:r>
    </w:p>
    <w:p>
      <w:pPr>
        <w:pStyle w:val="Heading1"/>
      </w:pPr>
      <w:r>
        <w:t>S2  Qualification relation architecture</w:t>
      </w:r>
    </w:p>
    <w:p>
      <w:r>
        <w:t>The relation table stores measurement type, metric, branch and state. The qualification metrics used here are GENERAL and REQUIRED; the separate PREFERRED metric is excluded from H, Q and their alternatives. Within GENERAL and REQUIRED, branches distinguish UNCONDITIONAL from choice, example, conditional and unresolved constructions.</w:t>
      </w:r>
    </w:p>
    <w:p>
      <w:r>
        <w:t>The working manuscript uses these constructs:</w:t>
      </w:r>
    </w:p>
    <w:p>
      <w:pPr>
        <w:pStyle w:val="ListBullet"/>
      </w:pPr>
      <w:r>
        <w:rPr>
          <w:b/>
        </w:rPr>
        <w:t>M (mention):</w:t>
      </w:r>
      <w:r>
        <w:t xml:space="preserve"> the target is explicitly named in duties or qualifications.</w:t>
      </w:r>
    </w:p>
    <w:p>
      <w:pPr>
        <w:pStyle w:val="ListBullet"/>
      </w:pPr>
      <w:r>
        <w:rPr>
          <w:b/>
        </w:rPr>
        <w:t>H (qualification-context association):</w:t>
      </w:r>
      <w:r>
        <w:t xml:space="preserve"> the target has any known GENERAL or REQUIRED context branch, including unconditional, choice, example, conditional or unresolved branches.</w:t>
      </w:r>
    </w:p>
    <w:p>
      <w:pPr>
        <w:pStyle w:val="ListBullet"/>
      </w:pPr>
      <w:r>
        <w:rPr>
          <w:b/>
        </w:rPr>
        <w:t>Q (unconditional technology-specific qualification statement):</w:t>
      </w:r>
      <w:r>
        <w:t xml:space="preserve"> GENERAL or REQUIRED is positive only under an unconditional target-specific reading. P, Z and U remain separate.</w:t>
      </w:r>
    </w:p>
    <w:p>
      <w:pPr>
        <w:pStyle w:val="ListBullet"/>
      </w:pPr>
      <w:r>
        <w:rPr>
          <w:b/>
        </w:rPr>
        <w:t>Q+E:</w:t>
      </w:r>
      <w:r>
        <w:t xml:space="preserve"> the relation set admits unconditional and example readings within GENERAL or REQUIRED, including a recorded ambiguous relation when every live reading is in that set.</w:t>
      </w:r>
    </w:p>
    <w:p>
      <w:pPr>
        <w:pStyle w:val="ListBullet"/>
      </w:pPr>
      <w:r>
        <w:rPr>
          <w:b/>
        </w:rPr>
        <w:t>Q+C+E:</w:t>
      </w:r>
      <w:r>
        <w:t xml:space="preserve"> the admitted relation set includes unconditional, example and choice readings within GENERAL or REQUIRED.</w:t>
      </w:r>
    </w:p>
    <w:p>
      <w:r>
        <w:t>Conditional branches and the separate PREFERRED metric are not added to Q+E or Q+C+E. P, Z and U are construct-specific states. A Q-unknown becomes positive in an expansion if every live interpretation belongs to the expanded admitted set; it remains U only when inclusion is still unresolved under that rule. These alternatives are distinct estimands, not competing accuracy labels. A source phrase can be correctly represented as an example while researchers reasonably disagree about whether an example counts as target demand.</w:t>
      </w:r>
    </w:p>
    <w:p>
      <w:r>
        <w:t xml:space="preserve">Production checks report 496 state rows, 456 linked evidence spans, exact span/hash verification, and rowwise </w:t>
      </w:r>
      <m:oMath>
        <m:sSup>
          <m:e>
            <m:r>
              <m:t>Q</m:t>
            </m:r>
          </m:e>
          <m:sup>
            <m:r>
              <m:t>P</m:t>
            </m:r>
          </m:sup>
        </m:sSup>
        <m:r>
          <m:t>⊆ </m:t>
        </m:r>
        <m:r>
          <m:t>H</m:t>
        </m:r>
        <m:r>
          <m:t>⊆ </m:t>
        </m:r>
        <m:r>
          <m:t>M</m:t>
        </m:r>
      </m:oMath>
      <w:r>
        <w:t xml:space="preserve">, where </w:t>
      </w:r>
      <m:oMath>
        <m:sSup>
          <m:e>
            <m:r>
              <m:t>Q</m:t>
            </m:r>
          </m:e>
          <m:sup>
            <m:r>
              <m:t>P</m:t>
            </m:r>
          </m:sup>
        </m:sSup>
      </m:oMath>
      <w:r>
        <w:t xml:space="preserve"> is the confirmed-positive narrow-Q indicator. A separate implementation passed 3,608 scope checks. These checks do not provide independent human semantic validation.</w:t>
      </w:r>
    </w:p>
    <w:p>
      <w:pPr>
        <w:pStyle w:val="Heading1"/>
      </w:pPr>
      <w:r>
        <w:t>S3  Scope totals</w:t>
      </w:r>
    </w:p>
    <w:p>
      <w:pPr>
        <w:pStyle w:val="Caption"/>
      </w:pPr>
      <w:r>
        <w:t>Supplementary Table S1. Counts under nested and alternative constructs</w:t>
      </w:r>
    </w:p>
    <w:tbl>
      <w:tblPr>
        <w:tblW w:type="auto" w:w="0"/>
        <w:tblLayout w:type="fixed"/>
        <w:tblLook w:firstColumn="1" w:firstRow="1" w:lastColumn="0" w:lastRow="0" w:noHBand="0" w:noVBand="1" w:val="04A0"/>
        <w:tblBorders>
          <w:top w:val="single" w:sz="4" w:color="B0B0B0"/>
          <w:bottom w:val="single" w:sz="4" w:color="B0B0B0"/>
          <w:insideH w:val="single" w:sz="4" w:color="B0B0B0"/>
        </w:tblBorders>
      </w:tblPr>
      <w:tblGrid>
        <w:gridCol w:w="1191"/>
        <w:gridCol w:w="964"/>
        <w:gridCol w:w="567"/>
        <w:gridCol w:w="567"/>
        <w:gridCol w:w="567"/>
        <w:gridCol w:w="1701"/>
        <w:gridCol w:w="1701"/>
        <w:gridCol w:w="2602"/>
      </w:tblGrid>
      <w:tr>
        <w:trPr>
          <w:cantSplit/>
          <w:tblHeader/>
        </w:trPr>
        <w:tc>
          <w:tcPr>
            <w:tcW w:type="dxa" w:w="1191"/>
            <w:vAlign w:val="center"/>
            <w:shd w:fill="F2F2F2"/>
          </w:tcPr>
          <w:p>
            <w:pPr>
              <w:keepNext/>
              <w:spacing w:line="252" w:lineRule="auto" w:before="60" w:after="60"/>
            </w:pPr>
            <w:r>
              <w:rPr>
                <w:b/>
                <w:sz w:val="18"/>
              </w:rPr>
              <w:t>Task</w:t>
            </w:r>
          </w:p>
        </w:tc>
        <w:tc>
          <w:tcPr>
            <w:tcW w:type="dxa" w:w="964"/>
            <w:vAlign w:val="center"/>
            <w:shd w:fill="F2F2F2"/>
          </w:tcPr>
          <w:p>
            <w:pPr>
              <w:keepNext/>
              <w:spacing w:line="252" w:lineRule="auto" w:before="60" w:after="60"/>
            </w:pPr>
            <w:r>
              <w:rPr>
                <w:b/>
                <w:sz w:val="18"/>
              </w:rPr>
              <w:t>Target</w:t>
            </w:r>
          </w:p>
        </w:tc>
        <w:tc>
          <w:tcPr>
            <w:tcW w:type="dxa" w:w="567"/>
            <w:vAlign w:val="center"/>
            <w:shd w:fill="F2F2F2"/>
          </w:tcPr>
          <w:p>
            <w:pPr>
              <w:keepNext/>
              <w:spacing w:line="252" w:lineRule="auto" w:before="60" w:after="60"/>
            </w:pPr>
            <w:r>
              <w:rPr>
                <w:b/>
                <w:sz w:val="18"/>
              </w:rPr>
              <w:t>Ads</w:t>
            </w:r>
          </w:p>
        </w:tc>
        <w:tc>
          <w:tcPr>
            <w:tcW w:type="dxa" w:w="567"/>
            <w:vAlign w:val="center"/>
            <w:shd w:fill="F2F2F2"/>
          </w:tcPr>
          <w:p>
            <w:pPr>
              <w:keepNext/>
              <w:spacing w:line="252" w:lineRule="auto" w:before="60" w:after="60"/>
            </w:pPr>
            <w:r>
              <w:rPr>
                <w:b/>
                <w:sz w:val="18"/>
              </w:rPr>
              <w:t>M</w:t>
            </w:r>
          </w:p>
        </w:tc>
        <w:tc>
          <w:tcPr>
            <w:tcW w:type="dxa" w:w="567"/>
            <w:vAlign w:val="center"/>
            <w:shd w:fill="F2F2F2"/>
          </w:tcPr>
          <w:p>
            <w:pPr>
              <w:keepNext/>
              <w:spacing w:line="252" w:lineRule="auto" w:before="60" w:after="60"/>
            </w:pPr>
            <w:r>
              <w:rPr>
                <w:b/>
                <w:sz w:val="18"/>
              </w:rPr>
              <w:t>H</w:t>
            </w:r>
          </w:p>
        </w:tc>
        <w:tc>
          <w:tcPr>
            <w:tcW w:type="dxa" w:w="1701"/>
            <w:vAlign w:val="center"/>
            <w:shd w:fill="F2F2F2"/>
          </w:tcPr>
          <w:p>
            <w:pPr>
              <w:keepNext/>
              <w:spacing w:line="252" w:lineRule="auto" w:before="60" w:after="60"/>
            </w:pPr>
            <w:r>
              <w:rPr>
                <w:b/>
                <w:sz w:val="18"/>
              </w:rPr>
              <w:t>Q P / U</w:t>
            </w:r>
          </w:p>
        </w:tc>
        <w:tc>
          <w:tcPr>
            <w:tcW w:type="dxa" w:w="1701"/>
            <w:vAlign w:val="center"/>
            <w:shd w:fill="F2F2F2"/>
          </w:tcPr>
          <w:p>
            <w:pPr>
              <w:keepNext/>
              <w:spacing w:line="252" w:lineRule="auto" w:before="60" w:after="60"/>
            </w:pPr>
            <w:r>
              <w:rPr>
                <w:b/>
                <w:sz w:val="18"/>
              </w:rPr>
              <w:t>Q+E P / U</w:t>
            </w:r>
          </w:p>
        </w:tc>
        <w:tc>
          <w:tcPr>
            <w:tcW w:type="dxa" w:w="2602"/>
            <w:vAlign w:val="center"/>
            <w:shd w:fill="F2F2F2"/>
          </w:tcPr>
          <w:p>
            <w:pPr>
              <w:keepNext/>
              <w:spacing w:line="252" w:lineRule="auto" w:before="60" w:after="60"/>
            </w:pPr>
            <w:r>
              <w:rPr>
                <w:b/>
                <w:sz w:val="18"/>
              </w:rPr>
              <w:t>Q+C+E P / U</w:t>
            </w:r>
          </w:p>
        </w:tc>
      </w:tr>
      <w:tr>
        <w:trPr>
          <w:cantSplit/>
        </w:trPr>
        <w:tc>
          <w:tcPr>
            <w:tcW w:type="dxa" w:w="1191"/>
            <w:vAlign w:val="center"/>
          </w:tcPr>
          <w:p>
            <w:pPr>
              <w:keepNext w:val="0"/>
              <w:spacing w:line="252" w:lineRule="auto" w:before="60" w:after="60"/>
            </w:pPr>
            <w:r>
              <w:rPr>
                <w:b w:val="0"/>
                <w:sz w:val="18"/>
              </w:rPr>
              <w:t>Robot learning</w:t>
            </w:r>
          </w:p>
        </w:tc>
        <w:tc>
          <w:tcPr>
            <w:tcW w:type="dxa" w:w="964"/>
            <w:vAlign w:val="center"/>
          </w:tcPr>
          <w:p>
            <w:pPr>
              <w:keepNext w:val="0"/>
              <w:spacing w:line="252" w:lineRule="auto" w:before="60" w:after="60"/>
            </w:pPr>
            <w:r>
              <w:rPr>
                <w:b w:val="0"/>
                <w:sz w:val="18"/>
              </w:rPr>
              <w:t>Python</w:t>
            </w:r>
          </w:p>
        </w:tc>
        <w:tc>
          <w:tcPr>
            <w:tcW w:type="dxa" w:w="567"/>
            <w:vAlign w:val="center"/>
          </w:tcPr>
          <w:p>
            <w:pPr>
              <w:keepNext w:val="0"/>
              <w:spacing w:line="252" w:lineRule="auto" w:before="60" w:after="60"/>
            </w:pPr>
            <w:r>
              <w:rPr>
                <w:b w:val="0"/>
                <w:sz w:val="18"/>
              </w:rPr>
              <w:t>105</w:t>
            </w:r>
          </w:p>
        </w:tc>
        <w:tc>
          <w:tcPr>
            <w:tcW w:type="dxa" w:w="567"/>
            <w:vAlign w:val="center"/>
          </w:tcPr>
          <w:p>
            <w:pPr>
              <w:keepNext w:val="0"/>
              <w:spacing w:line="252" w:lineRule="auto" w:before="60" w:after="60"/>
            </w:pPr>
            <w:r>
              <w:rPr>
                <w:b w:val="0"/>
                <w:sz w:val="18"/>
              </w:rPr>
              <w:t>73</w:t>
            </w:r>
          </w:p>
        </w:tc>
        <w:tc>
          <w:tcPr>
            <w:tcW w:type="dxa" w:w="567"/>
            <w:vAlign w:val="center"/>
          </w:tcPr>
          <w:p>
            <w:pPr>
              <w:keepNext w:val="0"/>
              <w:spacing w:line="252" w:lineRule="auto" w:before="60" w:after="60"/>
            </w:pPr>
            <w:r>
              <w:rPr>
                <w:b w:val="0"/>
                <w:sz w:val="18"/>
              </w:rPr>
              <w:t>67</w:t>
            </w:r>
          </w:p>
        </w:tc>
        <w:tc>
          <w:tcPr>
            <w:tcW w:type="dxa" w:w="1701"/>
            <w:vAlign w:val="center"/>
          </w:tcPr>
          <w:p>
            <w:pPr>
              <w:keepNext w:val="0"/>
              <w:spacing w:line="252" w:lineRule="auto" w:before="60" w:after="60"/>
            </w:pPr>
            <w:r>
              <w:rPr>
                <w:b w:val="0"/>
                <w:sz w:val="18"/>
              </w:rPr>
              <w:t>42 / 17</w:t>
            </w:r>
          </w:p>
        </w:tc>
        <w:tc>
          <w:tcPr>
            <w:tcW w:type="dxa" w:w="1701"/>
            <w:vAlign w:val="center"/>
          </w:tcPr>
          <w:p>
            <w:pPr>
              <w:keepNext w:val="0"/>
              <w:spacing w:line="252" w:lineRule="auto" w:before="60" w:after="60"/>
            </w:pPr>
            <w:r>
              <w:rPr>
                <w:b w:val="0"/>
                <w:sz w:val="18"/>
              </w:rPr>
              <w:t>43 / 17</w:t>
            </w:r>
          </w:p>
        </w:tc>
        <w:tc>
          <w:tcPr>
            <w:tcW w:type="dxa" w:w="2602"/>
            <w:vAlign w:val="center"/>
          </w:tcPr>
          <w:p>
            <w:pPr>
              <w:keepNext w:val="0"/>
              <w:spacing w:line="252" w:lineRule="auto" w:before="60" w:after="60"/>
            </w:pPr>
            <w:r>
              <w:rPr>
                <w:b w:val="0"/>
                <w:sz w:val="18"/>
              </w:rPr>
              <w:t>50 / 17</w:t>
            </w:r>
          </w:p>
        </w:tc>
      </w:tr>
      <w:tr>
        <w:trPr>
          <w:cantSplit/>
        </w:trPr>
        <w:tc>
          <w:tcPr>
            <w:tcW w:type="dxa" w:w="1191"/>
            <w:vAlign w:val="center"/>
          </w:tcPr>
          <w:p>
            <w:pPr>
              <w:keepNext w:val="0"/>
              <w:spacing w:line="252" w:lineRule="auto" w:before="60" w:after="60"/>
            </w:pPr>
            <w:r>
              <w:rPr>
                <w:b w:val="0"/>
                <w:sz w:val="18"/>
              </w:rPr>
              <w:t>Robot learning</w:t>
            </w:r>
          </w:p>
        </w:tc>
        <w:tc>
          <w:tcPr>
            <w:tcW w:type="dxa" w:w="964"/>
            <w:vAlign w:val="center"/>
          </w:tcPr>
          <w:p>
            <w:pPr>
              <w:keepNext w:val="0"/>
              <w:spacing w:line="252" w:lineRule="auto" w:before="60" w:after="60"/>
            </w:pPr>
            <w:r>
              <w:rPr>
                <w:b w:val="0"/>
                <w:sz w:val="18"/>
              </w:rPr>
              <w:t>PyTorch</w:t>
            </w:r>
          </w:p>
        </w:tc>
        <w:tc>
          <w:tcPr>
            <w:tcW w:type="dxa" w:w="567"/>
            <w:vAlign w:val="center"/>
          </w:tcPr>
          <w:p>
            <w:pPr>
              <w:keepNext w:val="0"/>
              <w:spacing w:line="252" w:lineRule="auto" w:before="60" w:after="60"/>
            </w:pPr>
            <w:r>
              <w:rPr>
                <w:b w:val="0"/>
                <w:sz w:val="18"/>
              </w:rPr>
              <w:t>105</w:t>
            </w:r>
          </w:p>
        </w:tc>
        <w:tc>
          <w:tcPr>
            <w:tcW w:type="dxa" w:w="567"/>
            <w:vAlign w:val="center"/>
          </w:tcPr>
          <w:p>
            <w:pPr>
              <w:keepNext w:val="0"/>
              <w:spacing w:line="252" w:lineRule="auto" w:before="60" w:after="60"/>
            </w:pPr>
            <w:r>
              <w:rPr>
                <w:b w:val="0"/>
                <w:sz w:val="18"/>
              </w:rPr>
              <w:t>83</w:t>
            </w:r>
          </w:p>
        </w:tc>
        <w:tc>
          <w:tcPr>
            <w:tcW w:type="dxa" w:w="567"/>
            <w:vAlign w:val="center"/>
          </w:tcPr>
          <w:p>
            <w:pPr>
              <w:keepNext w:val="0"/>
              <w:spacing w:line="252" w:lineRule="auto" w:before="60" w:after="60"/>
            </w:pPr>
            <w:r>
              <w:rPr>
                <w:b w:val="0"/>
                <w:sz w:val="18"/>
              </w:rPr>
              <w:t>79</w:t>
            </w:r>
          </w:p>
        </w:tc>
        <w:tc>
          <w:tcPr>
            <w:tcW w:type="dxa" w:w="1701"/>
            <w:vAlign w:val="center"/>
          </w:tcPr>
          <w:p>
            <w:pPr>
              <w:keepNext w:val="0"/>
              <w:spacing w:line="252" w:lineRule="auto" w:before="60" w:after="60"/>
            </w:pPr>
            <w:r>
              <w:rPr>
                <w:b w:val="0"/>
                <w:sz w:val="18"/>
              </w:rPr>
              <w:t>22 / 6</w:t>
            </w:r>
          </w:p>
        </w:tc>
        <w:tc>
          <w:tcPr>
            <w:tcW w:type="dxa" w:w="1701"/>
            <w:vAlign w:val="center"/>
          </w:tcPr>
          <w:p>
            <w:pPr>
              <w:keepNext w:val="0"/>
              <w:spacing w:line="252" w:lineRule="auto" w:before="60" w:after="60"/>
            </w:pPr>
            <w:r>
              <w:rPr>
                <w:b w:val="0"/>
                <w:sz w:val="18"/>
              </w:rPr>
              <w:t>65 / 4</w:t>
            </w:r>
          </w:p>
        </w:tc>
        <w:tc>
          <w:tcPr>
            <w:tcW w:type="dxa" w:w="2602"/>
            <w:vAlign w:val="center"/>
          </w:tcPr>
          <w:p>
            <w:pPr>
              <w:keepNext w:val="0"/>
              <w:spacing w:line="252" w:lineRule="auto" w:before="60" w:after="60"/>
            </w:pPr>
            <w:r>
              <w:rPr>
                <w:b w:val="0"/>
                <w:sz w:val="18"/>
              </w:rPr>
              <w:t>75 / 4</w:t>
            </w:r>
          </w:p>
        </w:tc>
      </w:tr>
      <w:tr>
        <w:trPr>
          <w:cantSplit/>
        </w:trPr>
        <w:tc>
          <w:tcPr>
            <w:tcW w:type="dxa" w:w="1191"/>
            <w:vAlign w:val="center"/>
          </w:tcPr>
          <w:p>
            <w:pPr>
              <w:keepNext w:val="0"/>
              <w:spacing w:line="252" w:lineRule="auto" w:before="60" w:after="60"/>
            </w:pPr>
            <w:r>
              <w:rPr>
                <w:b w:val="0"/>
                <w:sz w:val="18"/>
              </w:rPr>
              <w:t>Robotics software</w:t>
            </w:r>
          </w:p>
        </w:tc>
        <w:tc>
          <w:tcPr>
            <w:tcW w:type="dxa" w:w="964"/>
            <w:vAlign w:val="center"/>
          </w:tcPr>
          <w:p>
            <w:pPr>
              <w:keepNext w:val="0"/>
              <w:spacing w:line="252" w:lineRule="auto" w:before="60" w:after="60"/>
            </w:pPr>
            <w:r>
              <w:rPr>
                <w:b w:val="0"/>
                <w:sz w:val="18"/>
              </w:rPr>
              <w:t>C++</w:t>
            </w:r>
          </w:p>
        </w:tc>
        <w:tc>
          <w:tcPr>
            <w:tcW w:type="dxa" w:w="567"/>
            <w:vAlign w:val="center"/>
          </w:tcPr>
          <w:p>
            <w:pPr>
              <w:keepNext w:val="0"/>
              <w:spacing w:line="252" w:lineRule="auto" w:before="60" w:after="60"/>
            </w:pPr>
            <w:r>
              <w:rPr>
                <w:b w:val="0"/>
                <w:sz w:val="18"/>
              </w:rPr>
              <w:t>87</w:t>
            </w:r>
          </w:p>
        </w:tc>
        <w:tc>
          <w:tcPr>
            <w:tcW w:type="dxa" w:w="567"/>
            <w:vAlign w:val="center"/>
          </w:tcPr>
          <w:p>
            <w:pPr>
              <w:keepNext w:val="0"/>
              <w:spacing w:line="252" w:lineRule="auto" w:before="60" w:after="60"/>
            </w:pPr>
            <w:r>
              <w:rPr>
                <w:b w:val="0"/>
                <w:sz w:val="18"/>
              </w:rPr>
              <w:t>80</w:t>
            </w:r>
          </w:p>
        </w:tc>
        <w:tc>
          <w:tcPr>
            <w:tcW w:type="dxa" w:w="567"/>
            <w:vAlign w:val="center"/>
          </w:tcPr>
          <w:p>
            <w:pPr>
              <w:keepNext w:val="0"/>
              <w:spacing w:line="252" w:lineRule="auto" w:before="60" w:after="60"/>
            </w:pPr>
            <w:r>
              <w:rPr>
                <w:b w:val="0"/>
                <w:sz w:val="18"/>
              </w:rPr>
              <w:t>74</w:t>
            </w:r>
          </w:p>
        </w:tc>
        <w:tc>
          <w:tcPr>
            <w:tcW w:type="dxa" w:w="1701"/>
            <w:vAlign w:val="center"/>
          </w:tcPr>
          <w:p>
            <w:pPr>
              <w:keepNext w:val="0"/>
              <w:spacing w:line="252" w:lineRule="auto" w:before="60" w:after="60"/>
            </w:pPr>
            <w:r>
              <w:rPr>
                <w:b w:val="0"/>
                <w:sz w:val="18"/>
              </w:rPr>
              <w:t>38 / 19</w:t>
            </w:r>
          </w:p>
        </w:tc>
        <w:tc>
          <w:tcPr>
            <w:tcW w:type="dxa" w:w="1701"/>
            <w:vAlign w:val="center"/>
          </w:tcPr>
          <w:p>
            <w:pPr>
              <w:keepNext w:val="0"/>
              <w:spacing w:line="252" w:lineRule="auto" w:before="60" w:after="60"/>
            </w:pPr>
            <w:r>
              <w:rPr>
                <w:b w:val="0"/>
                <w:sz w:val="18"/>
              </w:rPr>
              <w:t>39 / 19</w:t>
            </w:r>
          </w:p>
        </w:tc>
        <w:tc>
          <w:tcPr>
            <w:tcW w:type="dxa" w:w="2602"/>
            <w:vAlign w:val="center"/>
          </w:tcPr>
          <w:p>
            <w:pPr>
              <w:keepNext w:val="0"/>
              <w:spacing w:line="252" w:lineRule="auto" w:before="60" w:after="60"/>
            </w:pPr>
            <w:r>
              <w:rPr>
                <w:b w:val="0"/>
                <w:sz w:val="18"/>
              </w:rPr>
              <w:t>55 / 19</w:t>
            </w:r>
          </w:p>
        </w:tc>
      </w:tr>
      <w:tr>
        <w:trPr>
          <w:cantSplit/>
        </w:trPr>
        <w:tc>
          <w:tcPr>
            <w:tcW w:type="dxa" w:w="1191"/>
            <w:vAlign w:val="center"/>
          </w:tcPr>
          <w:p>
            <w:pPr>
              <w:keepNext w:val="0"/>
              <w:spacing w:line="252" w:lineRule="auto" w:before="60" w:after="60"/>
            </w:pPr>
            <w:r>
              <w:rPr>
                <w:b w:val="0"/>
                <w:sz w:val="18"/>
              </w:rPr>
              <w:t>Robotics software</w:t>
            </w:r>
          </w:p>
        </w:tc>
        <w:tc>
          <w:tcPr>
            <w:tcW w:type="dxa" w:w="964"/>
            <w:vAlign w:val="center"/>
          </w:tcPr>
          <w:p>
            <w:pPr>
              <w:keepNext w:val="0"/>
              <w:spacing w:line="252" w:lineRule="auto" w:before="60" w:after="60"/>
            </w:pPr>
            <w:r>
              <w:rPr>
                <w:b w:val="0"/>
                <w:sz w:val="18"/>
              </w:rPr>
              <w:t>Linux</w:t>
            </w:r>
          </w:p>
        </w:tc>
        <w:tc>
          <w:tcPr>
            <w:tcW w:type="dxa" w:w="567"/>
            <w:vAlign w:val="center"/>
          </w:tcPr>
          <w:p>
            <w:pPr>
              <w:keepNext w:val="0"/>
              <w:spacing w:line="252" w:lineRule="auto" w:before="60" w:after="60"/>
            </w:pPr>
            <w:r>
              <w:rPr>
                <w:b w:val="0"/>
                <w:sz w:val="18"/>
              </w:rPr>
              <w:t>87</w:t>
            </w:r>
          </w:p>
        </w:tc>
        <w:tc>
          <w:tcPr>
            <w:tcW w:type="dxa" w:w="567"/>
            <w:vAlign w:val="center"/>
          </w:tcPr>
          <w:p>
            <w:pPr>
              <w:keepNext w:val="0"/>
              <w:spacing w:line="252" w:lineRule="auto" w:before="60" w:after="60"/>
            </w:pPr>
            <w:r>
              <w:rPr>
                <w:b w:val="0"/>
                <w:sz w:val="18"/>
              </w:rPr>
              <w:t>52</w:t>
            </w:r>
          </w:p>
        </w:tc>
        <w:tc>
          <w:tcPr>
            <w:tcW w:type="dxa" w:w="567"/>
            <w:vAlign w:val="center"/>
          </w:tcPr>
          <w:p>
            <w:pPr>
              <w:keepNext w:val="0"/>
              <w:spacing w:line="252" w:lineRule="auto" w:before="60" w:after="60"/>
            </w:pPr>
            <w:r>
              <w:rPr>
                <w:b w:val="0"/>
                <w:sz w:val="18"/>
              </w:rPr>
              <w:t>50</w:t>
            </w:r>
          </w:p>
        </w:tc>
        <w:tc>
          <w:tcPr>
            <w:tcW w:type="dxa" w:w="1701"/>
            <w:vAlign w:val="center"/>
          </w:tcPr>
          <w:p>
            <w:pPr>
              <w:keepNext w:val="0"/>
              <w:spacing w:line="252" w:lineRule="auto" w:before="60" w:after="60"/>
            </w:pPr>
            <w:r>
              <w:rPr>
                <w:b w:val="0"/>
                <w:sz w:val="18"/>
              </w:rPr>
              <w:t>47 / 1</w:t>
            </w:r>
          </w:p>
        </w:tc>
        <w:tc>
          <w:tcPr>
            <w:tcW w:type="dxa" w:w="1701"/>
            <w:vAlign w:val="center"/>
          </w:tcPr>
          <w:p>
            <w:pPr>
              <w:keepNext w:val="0"/>
              <w:spacing w:line="252" w:lineRule="auto" w:before="60" w:after="60"/>
            </w:pPr>
            <w:r>
              <w:rPr>
                <w:b w:val="0"/>
                <w:sz w:val="18"/>
              </w:rPr>
              <w:t>48 / 1</w:t>
            </w:r>
          </w:p>
        </w:tc>
        <w:tc>
          <w:tcPr>
            <w:tcW w:type="dxa" w:w="2602"/>
            <w:vAlign w:val="center"/>
          </w:tcPr>
          <w:p>
            <w:pPr>
              <w:keepNext w:val="0"/>
              <w:spacing w:line="252" w:lineRule="auto" w:before="60" w:after="60"/>
            </w:pPr>
            <w:r>
              <w:rPr>
                <w:b w:val="0"/>
                <w:sz w:val="18"/>
              </w:rPr>
              <w:t>49 / 1</w:t>
            </w:r>
          </w:p>
        </w:tc>
      </w:tr>
      <w:tr>
        <w:trPr>
          <w:cantSplit/>
        </w:trPr>
        <w:tc>
          <w:tcPr>
            <w:tcW w:type="dxa" w:w="1191"/>
            <w:vAlign w:val="center"/>
          </w:tcPr>
          <w:p>
            <w:pPr>
              <w:keepNext w:val="0"/>
              <w:spacing w:line="252" w:lineRule="auto" w:before="60" w:after="60"/>
            </w:pPr>
            <w:r>
              <w:rPr>
                <w:b w:val="0"/>
                <w:sz w:val="18"/>
              </w:rPr>
              <w:t>Board circuitry</w:t>
            </w:r>
          </w:p>
        </w:tc>
        <w:tc>
          <w:tcPr>
            <w:tcW w:type="dxa" w:w="964"/>
            <w:vAlign w:val="center"/>
          </w:tcPr>
          <w:p>
            <w:pPr>
              <w:keepNext w:val="0"/>
              <w:spacing w:line="252" w:lineRule="auto" w:before="60" w:after="60"/>
            </w:pPr>
            <w:r>
              <w:rPr>
                <w:b w:val="0"/>
                <w:sz w:val="18"/>
              </w:rPr>
              <w:t>Altium</w:t>
            </w:r>
          </w:p>
        </w:tc>
        <w:tc>
          <w:tcPr>
            <w:tcW w:type="dxa" w:w="567"/>
            <w:vAlign w:val="center"/>
          </w:tcPr>
          <w:p>
            <w:pPr>
              <w:keepNext w:val="0"/>
              <w:spacing w:line="252" w:lineRule="auto" w:before="60" w:after="60"/>
            </w:pPr>
            <w:r>
              <w:rPr>
                <w:b w:val="0"/>
                <w:sz w:val="18"/>
              </w:rPr>
              <w:t>56</w:t>
            </w:r>
          </w:p>
        </w:tc>
        <w:tc>
          <w:tcPr>
            <w:tcW w:type="dxa" w:w="567"/>
            <w:vAlign w:val="center"/>
          </w:tcPr>
          <w:p>
            <w:pPr>
              <w:keepNext w:val="0"/>
              <w:spacing w:line="252" w:lineRule="auto" w:before="60" w:after="60"/>
            </w:pPr>
            <w:r>
              <w:rPr>
                <w:b w:val="0"/>
                <w:sz w:val="18"/>
              </w:rPr>
              <w:t>24</w:t>
            </w:r>
          </w:p>
        </w:tc>
        <w:tc>
          <w:tcPr>
            <w:tcW w:type="dxa" w:w="567"/>
            <w:vAlign w:val="center"/>
          </w:tcPr>
          <w:p>
            <w:pPr>
              <w:keepNext w:val="0"/>
              <w:spacing w:line="252" w:lineRule="auto" w:before="60" w:after="60"/>
            </w:pPr>
            <w:r>
              <w:rPr>
                <w:b w:val="0"/>
                <w:sz w:val="18"/>
              </w:rPr>
              <w:t>21</w:t>
            </w:r>
          </w:p>
        </w:tc>
        <w:tc>
          <w:tcPr>
            <w:tcW w:type="dxa" w:w="1701"/>
            <w:vAlign w:val="center"/>
          </w:tcPr>
          <w:p>
            <w:pPr>
              <w:keepNext w:val="0"/>
              <w:spacing w:line="252" w:lineRule="auto" w:before="60" w:after="60"/>
            </w:pPr>
            <w:r>
              <w:rPr>
                <w:b w:val="0"/>
                <w:sz w:val="18"/>
              </w:rPr>
              <w:t>5 / 0</w:t>
            </w:r>
          </w:p>
        </w:tc>
        <w:tc>
          <w:tcPr>
            <w:tcW w:type="dxa" w:w="1701"/>
            <w:vAlign w:val="center"/>
          </w:tcPr>
          <w:p>
            <w:pPr>
              <w:keepNext w:val="0"/>
              <w:spacing w:line="252" w:lineRule="auto" w:before="60" w:after="60"/>
            </w:pPr>
            <w:r>
              <w:rPr>
                <w:b w:val="0"/>
                <w:sz w:val="18"/>
              </w:rPr>
              <w:t>7 / 0</w:t>
            </w:r>
          </w:p>
        </w:tc>
        <w:tc>
          <w:tcPr>
            <w:tcW w:type="dxa" w:w="2602"/>
            <w:vAlign w:val="center"/>
          </w:tcPr>
          <w:p>
            <w:pPr>
              <w:keepNext w:val="0"/>
              <w:spacing w:line="252" w:lineRule="auto" w:before="60" w:after="60"/>
            </w:pPr>
            <w:r>
              <w:rPr>
                <w:b w:val="0"/>
                <w:sz w:val="18"/>
              </w:rPr>
              <w:t>21 / 0</w:t>
            </w:r>
          </w:p>
        </w:tc>
      </w:tr>
      <w:tr>
        <w:trPr>
          <w:cantSplit/>
        </w:trPr>
        <w:tc>
          <w:tcPr>
            <w:tcW w:type="dxa" w:w="1191"/>
            <w:vAlign w:val="center"/>
          </w:tcPr>
          <w:p>
            <w:pPr>
              <w:keepNext w:val="0"/>
              <w:spacing w:line="252" w:lineRule="auto" w:before="60" w:after="60"/>
            </w:pPr>
            <w:r>
              <w:rPr>
                <w:b w:val="0"/>
                <w:sz w:val="18"/>
              </w:rPr>
              <w:t>Board circuitry</w:t>
            </w:r>
          </w:p>
        </w:tc>
        <w:tc>
          <w:tcPr>
            <w:tcW w:type="dxa" w:w="964"/>
            <w:vAlign w:val="center"/>
          </w:tcPr>
          <w:p>
            <w:pPr>
              <w:keepNext w:val="0"/>
              <w:spacing w:line="252" w:lineRule="auto" w:before="60" w:after="60"/>
            </w:pPr>
            <w:r>
              <w:rPr>
                <w:b w:val="0"/>
                <w:sz w:val="18"/>
              </w:rPr>
              <w:t>EMC/SI/PI</w:t>
            </w:r>
          </w:p>
        </w:tc>
        <w:tc>
          <w:tcPr>
            <w:tcW w:type="dxa" w:w="567"/>
            <w:vAlign w:val="center"/>
          </w:tcPr>
          <w:p>
            <w:pPr>
              <w:keepNext w:val="0"/>
              <w:spacing w:line="252" w:lineRule="auto" w:before="60" w:after="60"/>
            </w:pPr>
            <w:r>
              <w:rPr>
                <w:b w:val="0"/>
                <w:sz w:val="18"/>
              </w:rPr>
              <w:t>56</w:t>
            </w:r>
          </w:p>
        </w:tc>
        <w:tc>
          <w:tcPr>
            <w:tcW w:type="dxa" w:w="567"/>
            <w:vAlign w:val="center"/>
          </w:tcPr>
          <w:p>
            <w:pPr>
              <w:keepNext w:val="0"/>
              <w:spacing w:line="252" w:lineRule="auto" w:before="60" w:after="60"/>
            </w:pPr>
            <w:r>
              <w:rPr>
                <w:b w:val="0"/>
                <w:sz w:val="18"/>
              </w:rPr>
              <w:t>36</w:t>
            </w:r>
          </w:p>
        </w:tc>
        <w:tc>
          <w:tcPr>
            <w:tcW w:type="dxa" w:w="567"/>
            <w:vAlign w:val="center"/>
          </w:tcPr>
          <w:p>
            <w:pPr>
              <w:keepNext w:val="0"/>
              <w:spacing w:line="252" w:lineRule="auto" w:before="60" w:after="60"/>
            </w:pPr>
            <w:r>
              <w:rPr>
                <w:b w:val="0"/>
                <w:sz w:val="18"/>
              </w:rPr>
              <w:t>20</w:t>
            </w:r>
          </w:p>
        </w:tc>
        <w:tc>
          <w:tcPr>
            <w:tcW w:type="dxa" w:w="1701"/>
            <w:vAlign w:val="center"/>
          </w:tcPr>
          <w:p>
            <w:pPr>
              <w:keepNext w:val="0"/>
              <w:spacing w:line="252" w:lineRule="auto" w:before="60" w:after="60"/>
            </w:pPr>
            <w:r>
              <w:rPr>
                <w:b w:val="0"/>
                <w:sz w:val="18"/>
              </w:rPr>
              <w:t>15 / 0</w:t>
            </w:r>
          </w:p>
        </w:tc>
        <w:tc>
          <w:tcPr>
            <w:tcW w:type="dxa" w:w="1701"/>
            <w:vAlign w:val="center"/>
          </w:tcPr>
          <w:p>
            <w:pPr>
              <w:keepNext w:val="0"/>
              <w:spacing w:line="252" w:lineRule="auto" w:before="60" w:after="60"/>
            </w:pPr>
            <w:r>
              <w:rPr>
                <w:b w:val="0"/>
                <w:sz w:val="18"/>
              </w:rPr>
              <w:t>20 / 0</w:t>
            </w:r>
          </w:p>
        </w:tc>
        <w:tc>
          <w:tcPr>
            <w:tcW w:type="dxa" w:w="2602"/>
            <w:vAlign w:val="center"/>
          </w:tcPr>
          <w:p>
            <w:pPr>
              <w:keepNext w:val="0"/>
              <w:spacing w:line="252" w:lineRule="auto" w:before="60" w:after="60"/>
            </w:pPr>
            <w:r>
              <w:rPr>
                <w:b w:val="0"/>
                <w:sz w:val="18"/>
              </w:rPr>
              <w:t>20 / 0</w:t>
            </w:r>
          </w:p>
        </w:tc>
      </w:tr>
    </w:tbl>
    <w:p>
      <w:pPr>
        <w:spacing w:line="252" w:lineRule="auto"/>
      </w:pPr>
      <w:r>
        <w:rPr>
          <w:sz w:val="18"/>
        </w:rPr>
        <w:t>Notes: P denotes a positive for the named construct. U is the unresolved count after applying that construct's admission rule; it need not equal narrow-Q U. H is a known GENERAL or REQUIRED context occurrence, excludes the separate PREFERRED metric and has no P/Z/U interpretation in this table. A separate implementation reproduced the scope construction and aggregates.</w:t>
      </w:r>
    </w:p>
    <w:p>
      <w:r>
        <w:t>The large PyTorch transition from Q to Q+E is the central construct boundary. The 43 additional PyTorch positives comprise 41 Z-to-P transitions under admitted example relations and two U-to-P transitions whose unconditional-or-example readings are both admitted. Across Python and PyTorch, the total is 44 transitions: 42 from Z and two from U. These are construct changes, not corrections toward a known true label.</w:t>
      </w:r>
    </w:p>
    <w:p>
      <w:pPr>
        <w:pStyle w:val="Heading1"/>
      </w:pPr>
      <w:r>
        <w:t>S4  Paired state and weighting design</w:t>
      </w:r>
    </w:p>
    <w:p>
      <w:r>
        <w:t xml:space="preserve">Every task advertisement contributes both target rows. For narrow Q, the advertisement-level difference has lower contribution </w:t>
      </w:r>
      <m:oMath>
        <m:r>
          <m:t>1</m:t>
        </m:r>
        <m:r>
          <m:t>(</m:t>
        </m:r>
        <m:sSub>
          <m:e>
            <m:r>
              <m:t>Q</m:t>
            </m:r>
          </m:e>
          <m:sub>
            <m:r>
              <m:t>a</m:t>
            </m:r>
          </m:sub>
        </m:sSub>
        <m:r>
          <m:t>=</m:t>
        </m:r>
        <m:r>
          <m:t>P</m:t>
        </m:r>
        <m:r>
          <m:t>)-</m:t>
        </m:r>
        <m:r>
          <m:t>1</m:t>
        </m:r>
        <m:r>
          <m:t>(</m:t>
        </m:r>
        <m:sSub>
          <m:e>
            <m:r>
              <m:t>Q</m:t>
            </m:r>
          </m:e>
          <m:sub>
            <m:r>
              <m:t>b</m:t>
            </m:r>
          </m:sub>
        </m:sSub>
        <m:r>
          <m:t>≠ </m:t>
        </m:r>
        <m:r>
          <m:t>Z</m:t>
        </m:r>
        <m:r>
          <m:t>)</m:t>
        </m:r>
      </m:oMath>
      <w:r>
        <w:t xml:space="preserve"> and upper contribution </w:t>
      </w:r>
      <m:oMath>
        <m:r>
          <m:t>1</m:t>
        </m:r>
        <m:r>
          <m:t>(</m:t>
        </m:r>
        <m:sSub>
          <m:e>
            <m:r>
              <m:t>Q</m:t>
            </m:r>
          </m:e>
          <m:sub>
            <m:r>
              <m:t>a</m:t>
            </m:r>
          </m:sub>
        </m:sSub>
        <m:r>
          <m:t>≠ </m:t>
        </m:r>
        <m:r>
          <m:t>Z</m:t>
        </m:r>
        <m:r>
          <m:t>)-</m:t>
        </m:r>
        <m:r>
          <m:t>1</m:t>
        </m:r>
        <m:r>
          <m:t>(</m:t>
        </m:r>
        <m:sSub>
          <m:e>
            <m:r>
              <m:t>Q</m:t>
            </m:r>
          </m:e>
          <m:sub>
            <m:r>
              <m:t>b</m:t>
            </m:r>
          </m:sub>
        </m:sSub>
        <m:r>
          <m:t>=</m:t>
        </m:r>
        <m:r>
          <m:t>P</m:t>
        </m:r>
        <m:r>
          <m:t>)</m:t>
        </m:r>
      </m:oMath>
      <w:r>
        <w:t>. Positive weights aggregate those outer contributions.</w:t>
      </w:r>
    </w:p>
    <w:p>
      <w:r>
        <w:t>Three weights are used:</w:t>
      </w:r>
    </w:p>
    <w:p>
      <w:pPr>
        <w:pStyle w:val="ListNumber"/>
      </w:pPr>
      <w:r>
        <w:t>advertisement equal;</w:t>
      </w:r>
    </w:p>
    <w:p>
      <w:pPr>
        <w:pStyle w:val="ListNumber"/>
      </w:pPr>
      <w:r>
        <w:t>firm equal, calculated among firms present in the analysis subset; and</w:t>
      </w:r>
    </w:p>
    <w:p>
      <w:pPr>
        <w:pStyle w:val="ListNumber"/>
      </w:pPr>
      <w:r>
        <w:t>firm-by-exact-text, where qualification text is Unicode NFKC, case and whitespace normalized, exact clusters receive equal total weight within firms, and firms then receive equal weight.</w:t>
      </w:r>
    </w:p>
    <w:p>
      <w:r>
        <w:t>There are 99 exact full-qualification-text clusters among 105 robot-learning advertisements and 61 among 66 common-mention advertisements. Robotics-software and board samples contain no exact duplicates under this rule, so their firm and firm-by-exact-full-text results coincide. The rule does not detect near duplicates, common clauses or cross-firm templates.</w:t>
      </w:r>
    </w:p>
    <w:p>
      <w:pPr>
        <w:pStyle w:val="Caption"/>
      </w:pPr>
      <w:r>
        <w:t>Supplementary Table S2. Robot-learning narrow-Q weighting results</w:t>
      </w:r>
    </w:p>
    <w:tbl>
      <w:tblPr>
        <w:tblW w:type="auto" w:w="0"/>
        <w:tblLayout w:type="fixed"/>
        <w:tblLook w:firstColumn="1" w:firstRow="1" w:lastColumn="0" w:lastRow="0" w:noHBand="0" w:noVBand="1" w:val="04A0"/>
        <w:tblBorders>
          <w:top w:val="single" w:sz="4" w:color="B0B0B0"/>
          <w:bottom w:val="single" w:sz="4" w:color="B0B0B0"/>
          <w:insideH w:val="single" w:sz="4" w:color="B0B0B0"/>
        </w:tblBorders>
      </w:tblPr>
      <w:tblGrid>
        <w:gridCol w:w="1814"/>
        <w:gridCol w:w="1814"/>
        <w:gridCol w:w="624"/>
        <w:gridCol w:w="850"/>
        <w:gridCol w:w="2494"/>
        <w:gridCol w:w="2262"/>
      </w:tblGrid>
      <w:tr>
        <w:trPr>
          <w:cantSplit/>
          <w:tblHeader/>
        </w:trPr>
        <w:tc>
          <w:tcPr>
            <w:tcW w:type="dxa" w:w="1814"/>
            <w:vAlign w:val="center"/>
            <w:shd w:fill="F2F2F2"/>
          </w:tcPr>
          <w:p>
            <w:pPr>
              <w:keepNext/>
              <w:spacing w:line="252" w:lineRule="auto" w:before="60" w:after="60"/>
            </w:pPr>
            <w:r>
              <w:rPr>
                <w:b/>
                <w:sz w:val="19"/>
              </w:rPr>
              <w:t>Sample</w:t>
            </w:r>
          </w:p>
        </w:tc>
        <w:tc>
          <w:tcPr>
            <w:tcW w:type="dxa" w:w="1814"/>
            <w:vAlign w:val="center"/>
            <w:shd w:fill="F2F2F2"/>
          </w:tcPr>
          <w:p>
            <w:pPr>
              <w:keepNext/>
              <w:spacing w:line="252" w:lineRule="auto" w:before="60" w:after="60"/>
            </w:pPr>
            <w:r>
              <w:rPr>
                <w:b/>
                <w:sz w:val="19"/>
              </w:rPr>
              <w:t>Weight</w:t>
            </w:r>
          </w:p>
        </w:tc>
        <w:tc>
          <w:tcPr>
            <w:tcW w:type="dxa" w:w="624"/>
            <w:vAlign w:val="center"/>
            <w:shd w:fill="F2F2F2"/>
          </w:tcPr>
          <w:p>
            <w:pPr>
              <w:keepNext/>
              <w:spacing w:line="252" w:lineRule="auto" w:before="60" w:after="60"/>
            </w:pPr>
            <w:r>
              <w:rPr>
                <w:b/>
                <w:sz w:val="19"/>
              </w:rPr>
              <w:t>Ads</w:t>
            </w:r>
          </w:p>
        </w:tc>
        <w:tc>
          <w:tcPr>
            <w:tcW w:type="dxa" w:w="850"/>
            <w:vAlign w:val="center"/>
            <w:shd w:fill="F2F2F2"/>
          </w:tcPr>
          <w:p>
            <w:pPr>
              <w:keepNext/>
              <w:spacing w:line="252" w:lineRule="auto" w:before="60" w:after="60"/>
            </w:pPr>
            <w:r>
              <w:rPr>
                <w:b/>
                <w:sz w:val="19"/>
              </w:rPr>
              <w:t>Firms</w:t>
            </w:r>
          </w:p>
        </w:tc>
        <w:tc>
          <w:tcPr>
            <w:tcW w:type="dxa" w:w="2494"/>
            <w:vAlign w:val="center"/>
            <w:shd w:fill="F2F2F2"/>
          </w:tcPr>
          <w:p>
            <w:pPr>
              <w:keepNext/>
              <w:spacing w:line="252" w:lineRule="auto" w:before="60" w:after="60"/>
            </w:pPr>
            <w:r>
              <w:rPr>
                <w:b/>
                <w:sz w:val="19"/>
              </w:rPr>
              <w:t>Confirmed Python−PyTorch pp</w:t>
            </w:r>
          </w:p>
        </w:tc>
        <w:tc>
          <w:tcPr>
            <w:tcW w:type="dxa" w:w="2262"/>
            <w:vAlign w:val="center"/>
            <w:shd w:fill="F2F2F2"/>
          </w:tcPr>
          <w:p>
            <w:pPr>
              <w:keepNext/>
              <w:spacing w:line="252" w:lineRule="auto" w:before="60" w:after="60"/>
            </w:pPr>
            <w:r>
              <w:rPr>
                <w:b/>
                <w:sz w:val="19"/>
              </w:rPr>
              <w:t>Outer range pp</w:t>
            </w:r>
          </w:p>
        </w:tc>
      </w:tr>
      <w:tr>
        <w:trPr>
          <w:cantSplit/>
        </w:trPr>
        <w:tc>
          <w:tcPr>
            <w:tcW w:type="dxa" w:w="1814"/>
            <w:vAlign w:val="center"/>
          </w:tcPr>
          <w:p>
            <w:pPr>
              <w:keepNext w:val="0"/>
              <w:spacing w:line="252" w:lineRule="auto" w:before="60" w:after="60"/>
            </w:pPr>
            <w:r>
              <w:rPr>
                <w:b w:val="0"/>
                <w:sz w:val="19"/>
              </w:rPr>
              <w:t>All robot-learning ads</w:t>
            </w:r>
          </w:p>
        </w:tc>
        <w:tc>
          <w:tcPr>
            <w:tcW w:type="dxa" w:w="1814"/>
            <w:vAlign w:val="center"/>
          </w:tcPr>
          <w:p>
            <w:pPr>
              <w:keepNext w:val="0"/>
              <w:spacing w:line="252" w:lineRule="auto" w:before="60" w:after="60"/>
            </w:pPr>
            <w:r>
              <w:rPr>
                <w:b w:val="0"/>
                <w:sz w:val="19"/>
              </w:rPr>
              <w:t>Advertisement</w:t>
            </w:r>
          </w:p>
        </w:tc>
        <w:tc>
          <w:tcPr>
            <w:tcW w:type="dxa" w:w="624"/>
            <w:vAlign w:val="center"/>
          </w:tcPr>
          <w:p>
            <w:pPr>
              <w:keepNext w:val="0"/>
              <w:spacing w:line="252" w:lineRule="auto" w:before="60" w:after="60"/>
            </w:pPr>
            <w:r>
              <w:rPr>
                <w:b w:val="0"/>
                <w:sz w:val="19"/>
              </w:rPr>
              <w:t>105</w:t>
            </w:r>
          </w:p>
        </w:tc>
        <w:tc>
          <w:tcPr>
            <w:tcW w:type="dxa" w:w="850"/>
            <w:vAlign w:val="center"/>
          </w:tcPr>
          <w:p>
            <w:pPr>
              <w:keepNext w:val="0"/>
              <w:spacing w:line="252" w:lineRule="auto" w:before="60" w:after="60"/>
            </w:pPr>
            <w:r>
              <w:rPr>
                <w:b w:val="0"/>
                <w:sz w:val="19"/>
              </w:rPr>
              <w:t>22</w:t>
            </w:r>
          </w:p>
        </w:tc>
        <w:tc>
          <w:tcPr>
            <w:tcW w:type="dxa" w:w="2494"/>
            <w:vAlign w:val="center"/>
          </w:tcPr>
          <w:p>
            <w:pPr>
              <w:keepNext w:val="0"/>
              <w:spacing w:line="252" w:lineRule="auto" w:before="60" w:after="60"/>
            </w:pPr>
            <w:r>
              <w:rPr>
                <w:b w:val="0"/>
                <w:sz w:val="19"/>
              </w:rPr>
              <w:t>+19.05</w:t>
            </w:r>
          </w:p>
        </w:tc>
        <w:tc>
          <w:tcPr>
            <w:tcW w:type="dxa" w:w="2262"/>
            <w:vAlign w:val="center"/>
          </w:tcPr>
          <w:p>
            <w:pPr>
              <w:keepNext w:val="0"/>
              <w:spacing w:line="252" w:lineRule="auto" w:before="60" w:after="60"/>
            </w:pPr>
            <w:r>
              <w:rPr>
                <w:b w:val="0"/>
                <w:sz w:val="19"/>
              </w:rPr>
              <w:t>+13.33 to +35.24</w:t>
            </w:r>
          </w:p>
        </w:tc>
      </w:tr>
      <w:tr>
        <w:trPr>
          <w:cantSplit/>
        </w:trPr>
        <w:tc>
          <w:tcPr>
            <w:tcW w:type="dxa" w:w="1814"/>
            <w:vAlign w:val="center"/>
          </w:tcPr>
          <w:p>
            <w:pPr>
              <w:keepNext w:val="0"/>
              <w:spacing w:line="252" w:lineRule="auto" w:before="60" w:after="60"/>
            </w:pPr>
          </w:p>
        </w:tc>
        <w:tc>
          <w:tcPr>
            <w:tcW w:type="dxa" w:w="1814"/>
            <w:vAlign w:val="center"/>
          </w:tcPr>
          <w:p>
            <w:pPr>
              <w:keepNext w:val="0"/>
              <w:spacing w:line="252" w:lineRule="auto" w:before="60" w:after="60"/>
            </w:pPr>
            <w:r>
              <w:rPr>
                <w:b w:val="0"/>
                <w:sz w:val="19"/>
              </w:rPr>
              <w:t>Firm equal</w:t>
            </w:r>
          </w:p>
        </w:tc>
        <w:tc>
          <w:tcPr>
            <w:tcW w:type="dxa" w:w="624"/>
            <w:vAlign w:val="center"/>
          </w:tcPr>
          <w:p>
            <w:pPr>
              <w:keepNext w:val="0"/>
              <w:spacing w:line="252" w:lineRule="auto" w:before="60" w:after="60"/>
            </w:pPr>
            <w:r>
              <w:rPr>
                <w:b w:val="0"/>
                <w:sz w:val="19"/>
              </w:rPr>
              <w:t>105</w:t>
            </w:r>
          </w:p>
        </w:tc>
        <w:tc>
          <w:tcPr>
            <w:tcW w:type="dxa" w:w="850"/>
            <w:vAlign w:val="center"/>
          </w:tcPr>
          <w:p>
            <w:pPr>
              <w:keepNext w:val="0"/>
              <w:spacing w:line="252" w:lineRule="auto" w:before="60" w:after="60"/>
            </w:pPr>
            <w:r>
              <w:rPr>
                <w:b w:val="0"/>
                <w:sz w:val="19"/>
              </w:rPr>
              <w:t>22</w:t>
            </w:r>
          </w:p>
        </w:tc>
        <w:tc>
          <w:tcPr>
            <w:tcW w:type="dxa" w:w="2494"/>
            <w:vAlign w:val="center"/>
          </w:tcPr>
          <w:p>
            <w:pPr>
              <w:keepNext w:val="0"/>
              <w:spacing w:line="252" w:lineRule="auto" w:before="60" w:after="60"/>
            </w:pPr>
            <w:r>
              <w:rPr>
                <w:b w:val="0"/>
                <w:sz w:val="19"/>
              </w:rPr>
              <w:t>+20.21</w:t>
            </w:r>
          </w:p>
        </w:tc>
        <w:tc>
          <w:tcPr>
            <w:tcW w:type="dxa" w:w="2262"/>
            <w:vAlign w:val="center"/>
          </w:tcPr>
          <w:p>
            <w:pPr>
              <w:keepNext w:val="0"/>
              <w:spacing w:line="252" w:lineRule="auto" w:before="60" w:after="60"/>
            </w:pPr>
            <w:r>
              <w:rPr>
                <w:b w:val="0"/>
                <w:sz w:val="19"/>
              </w:rPr>
              <w:t>+14.63 to +31.29</w:t>
            </w:r>
          </w:p>
        </w:tc>
      </w:tr>
      <w:tr>
        <w:trPr>
          <w:cantSplit/>
        </w:trPr>
        <w:tc>
          <w:tcPr>
            <w:tcW w:type="dxa" w:w="1814"/>
            <w:vAlign w:val="center"/>
          </w:tcPr>
          <w:p>
            <w:pPr>
              <w:keepNext w:val="0"/>
              <w:spacing w:line="252" w:lineRule="auto" w:before="60" w:after="60"/>
            </w:pPr>
          </w:p>
        </w:tc>
        <w:tc>
          <w:tcPr>
            <w:tcW w:type="dxa" w:w="1814"/>
            <w:vAlign w:val="center"/>
          </w:tcPr>
          <w:p>
            <w:pPr>
              <w:keepNext w:val="0"/>
              <w:spacing w:line="252" w:lineRule="auto" w:before="60" w:after="60"/>
            </w:pPr>
            <w:r>
              <w:rPr>
                <w:b w:val="0"/>
                <w:sz w:val="19"/>
              </w:rPr>
              <w:t>Firm × exact text</w:t>
            </w:r>
          </w:p>
        </w:tc>
        <w:tc>
          <w:tcPr>
            <w:tcW w:type="dxa" w:w="624"/>
            <w:vAlign w:val="center"/>
          </w:tcPr>
          <w:p>
            <w:pPr>
              <w:keepNext w:val="0"/>
              <w:spacing w:line="252" w:lineRule="auto" w:before="60" w:after="60"/>
            </w:pPr>
            <w:r>
              <w:rPr>
                <w:b w:val="0"/>
                <w:sz w:val="19"/>
              </w:rPr>
              <w:t>105</w:t>
            </w:r>
          </w:p>
        </w:tc>
        <w:tc>
          <w:tcPr>
            <w:tcW w:type="dxa" w:w="850"/>
            <w:vAlign w:val="center"/>
          </w:tcPr>
          <w:p>
            <w:pPr>
              <w:keepNext w:val="0"/>
              <w:spacing w:line="252" w:lineRule="auto" w:before="60" w:after="60"/>
            </w:pPr>
            <w:r>
              <w:rPr>
                <w:b w:val="0"/>
                <w:sz w:val="19"/>
              </w:rPr>
              <w:t>22</w:t>
            </w:r>
          </w:p>
        </w:tc>
        <w:tc>
          <w:tcPr>
            <w:tcW w:type="dxa" w:w="2494"/>
            <w:vAlign w:val="center"/>
          </w:tcPr>
          <w:p>
            <w:pPr>
              <w:keepNext w:val="0"/>
              <w:spacing w:line="252" w:lineRule="auto" w:before="60" w:after="60"/>
            </w:pPr>
            <w:r>
              <w:rPr>
                <w:b w:val="0"/>
                <w:sz w:val="19"/>
              </w:rPr>
              <w:t>+20.20</w:t>
            </w:r>
          </w:p>
        </w:tc>
        <w:tc>
          <w:tcPr>
            <w:tcW w:type="dxa" w:w="2262"/>
            <w:vAlign w:val="center"/>
          </w:tcPr>
          <w:p>
            <w:pPr>
              <w:keepNext w:val="0"/>
              <w:spacing w:line="252" w:lineRule="auto" w:before="60" w:after="60"/>
            </w:pPr>
            <w:r>
              <w:rPr>
                <w:b w:val="0"/>
                <w:sz w:val="19"/>
              </w:rPr>
              <w:t>+14.59 to +31.24</w:t>
            </w:r>
          </w:p>
        </w:tc>
      </w:tr>
      <w:tr>
        <w:trPr>
          <w:cantSplit/>
        </w:trPr>
        <w:tc>
          <w:tcPr>
            <w:tcW w:type="dxa" w:w="1814"/>
            <w:vAlign w:val="center"/>
          </w:tcPr>
          <w:p>
            <w:pPr>
              <w:keepNext w:val="0"/>
              <w:spacing w:line="252" w:lineRule="auto" w:before="60" w:after="60"/>
            </w:pPr>
            <w:r>
              <w:rPr>
                <w:b w:val="0"/>
                <w:sz w:val="19"/>
              </w:rPr>
              <w:t>Both mentioned</w:t>
            </w:r>
          </w:p>
        </w:tc>
        <w:tc>
          <w:tcPr>
            <w:tcW w:type="dxa" w:w="1814"/>
            <w:vAlign w:val="center"/>
          </w:tcPr>
          <w:p>
            <w:pPr>
              <w:keepNext w:val="0"/>
              <w:spacing w:line="252" w:lineRule="auto" w:before="60" w:after="60"/>
            </w:pPr>
            <w:r>
              <w:rPr>
                <w:b w:val="0"/>
                <w:sz w:val="19"/>
              </w:rPr>
              <w:t>Advertisement</w:t>
            </w:r>
          </w:p>
        </w:tc>
        <w:tc>
          <w:tcPr>
            <w:tcW w:type="dxa" w:w="624"/>
            <w:vAlign w:val="center"/>
          </w:tcPr>
          <w:p>
            <w:pPr>
              <w:keepNext w:val="0"/>
              <w:spacing w:line="252" w:lineRule="auto" w:before="60" w:after="60"/>
            </w:pPr>
            <w:r>
              <w:rPr>
                <w:b w:val="0"/>
                <w:sz w:val="19"/>
              </w:rPr>
              <w:t>66</w:t>
            </w:r>
          </w:p>
        </w:tc>
        <w:tc>
          <w:tcPr>
            <w:tcW w:type="dxa" w:w="850"/>
            <w:vAlign w:val="center"/>
          </w:tcPr>
          <w:p>
            <w:pPr>
              <w:keepNext w:val="0"/>
              <w:spacing w:line="252" w:lineRule="auto" w:before="60" w:after="60"/>
            </w:pPr>
            <w:r>
              <w:rPr>
                <w:b w:val="0"/>
                <w:sz w:val="19"/>
              </w:rPr>
              <w:t>18</w:t>
            </w:r>
          </w:p>
        </w:tc>
        <w:tc>
          <w:tcPr>
            <w:tcW w:type="dxa" w:w="2494"/>
            <w:vAlign w:val="center"/>
          </w:tcPr>
          <w:p>
            <w:pPr>
              <w:keepNext w:val="0"/>
              <w:spacing w:line="252" w:lineRule="auto" w:before="60" w:after="60"/>
            </w:pPr>
            <w:r>
              <w:rPr>
                <w:b w:val="0"/>
                <w:sz w:val="19"/>
              </w:rPr>
              <w:t>+28.79</w:t>
            </w:r>
          </w:p>
        </w:tc>
        <w:tc>
          <w:tcPr>
            <w:tcW w:type="dxa" w:w="2262"/>
            <w:vAlign w:val="center"/>
          </w:tcPr>
          <w:p>
            <w:pPr>
              <w:keepNext w:val="0"/>
              <w:spacing w:line="252" w:lineRule="auto" w:before="60" w:after="60"/>
            </w:pPr>
            <w:r>
              <w:rPr>
                <w:b w:val="0"/>
                <w:sz w:val="19"/>
              </w:rPr>
              <w:t>+21.21 to +51.52</w:t>
            </w:r>
          </w:p>
        </w:tc>
      </w:tr>
      <w:tr>
        <w:trPr>
          <w:cantSplit/>
        </w:trPr>
        <w:tc>
          <w:tcPr>
            <w:tcW w:type="dxa" w:w="1814"/>
            <w:vAlign w:val="center"/>
          </w:tcPr>
          <w:p>
            <w:pPr>
              <w:keepNext w:val="0"/>
              <w:spacing w:line="252" w:lineRule="auto" w:before="60" w:after="60"/>
            </w:pPr>
          </w:p>
        </w:tc>
        <w:tc>
          <w:tcPr>
            <w:tcW w:type="dxa" w:w="1814"/>
            <w:vAlign w:val="center"/>
          </w:tcPr>
          <w:p>
            <w:pPr>
              <w:keepNext w:val="0"/>
              <w:spacing w:line="252" w:lineRule="auto" w:before="60" w:after="60"/>
            </w:pPr>
            <w:r>
              <w:rPr>
                <w:b w:val="0"/>
                <w:sz w:val="19"/>
              </w:rPr>
              <w:t>Firm equal</w:t>
            </w:r>
          </w:p>
        </w:tc>
        <w:tc>
          <w:tcPr>
            <w:tcW w:type="dxa" w:w="624"/>
            <w:vAlign w:val="center"/>
          </w:tcPr>
          <w:p>
            <w:pPr>
              <w:keepNext w:val="0"/>
              <w:spacing w:line="252" w:lineRule="auto" w:before="60" w:after="60"/>
            </w:pPr>
            <w:r>
              <w:rPr>
                <w:b w:val="0"/>
                <w:sz w:val="19"/>
              </w:rPr>
              <w:t>66</w:t>
            </w:r>
          </w:p>
        </w:tc>
        <w:tc>
          <w:tcPr>
            <w:tcW w:type="dxa" w:w="850"/>
            <w:vAlign w:val="center"/>
          </w:tcPr>
          <w:p>
            <w:pPr>
              <w:keepNext w:val="0"/>
              <w:spacing w:line="252" w:lineRule="auto" w:before="60" w:after="60"/>
            </w:pPr>
            <w:r>
              <w:rPr>
                <w:b w:val="0"/>
                <w:sz w:val="19"/>
              </w:rPr>
              <w:t>18</w:t>
            </w:r>
          </w:p>
        </w:tc>
        <w:tc>
          <w:tcPr>
            <w:tcW w:type="dxa" w:w="2494"/>
            <w:vAlign w:val="center"/>
          </w:tcPr>
          <w:p>
            <w:pPr>
              <w:keepNext w:val="0"/>
              <w:spacing w:line="252" w:lineRule="auto" w:before="60" w:after="60"/>
            </w:pPr>
            <w:r>
              <w:rPr>
                <w:b w:val="0"/>
                <w:sz w:val="19"/>
              </w:rPr>
              <w:t>+27.78</w:t>
            </w:r>
          </w:p>
        </w:tc>
        <w:tc>
          <w:tcPr>
            <w:tcW w:type="dxa" w:w="2262"/>
            <w:vAlign w:val="center"/>
          </w:tcPr>
          <w:p>
            <w:pPr>
              <w:keepNext w:val="0"/>
              <w:spacing w:line="252" w:lineRule="auto" w:before="60" w:after="60"/>
            </w:pPr>
            <w:r>
              <w:rPr>
                <w:b w:val="0"/>
                <w:sz w:val="19"/>
              </w:rPr>
              <w:t>+17.04 to +47.08</w:t>
            </w:r>
          </w:p>
        </w:tc>
      </w:tr>
      <w:tr>
        <w:trPr>
          <w:cantSplit/>
        </w:trPr>
        <w:tc>
          <w:tcPr>
            <w:tcW w:type="dxa" w:w="1814"/>
            <w:vAlign w:val="center"/>
          </w:tcPr>
          <w:p>
            <w:pPr>
              <w:keepNext w:val="0"/>
              <w:spacing w:line="252" w:lineRule="auto" w:before="60" w:after="60"/>
            </w:pPr>
          </w:p>
        </w:tc>
        <w:tc>
          <w:tcPr>
            <w:tcW w:type="dxa" w:w="1814"/>
            <w:vAlign w:val="center"/>
          </w:tcPr>
          <w:p>
            <w:pPr>
              <w:keepNext w:val="0"/>
              <w:spacing w:line="252" w:lineRule="auto" w:before="60" w:after="60"/>
            </w:pPr>
            <w:r>
              <w:rPr>
                <w:b w:val="0"/>
                <w:sz w:val="19"/>
              </w:rPr>
              <w:t>Firm × exact text</w:t>
            </w:r>
          </w:p>
        </w:tc>
        <w:tc>
          <w:tcPr>
            <w:tcW w:type="dxa" w:w="624"/>
            <w:vAlign w:val="center"/>
          </w:tcPr>
          <w:p>
            <w:pPr>
              <w:keepNext w:val="0"/>
              <w:spacing w:line="252" w:lineRule="auto" w:before="60" w:after="60"/>
            </w:pPr>
            <w:r>
              <w:rPr>
                <w:b w:val="0"/>
                <w:sz w:val="19"/>
              </w:rPr>
              <w:t>66</w:t>
            </w:r>
          </w:p>
        </w:tc>
        <w:tc>
          <w:tcPr>
            <w:tcW w:type="dxa" w:w="850"/>
            <w:vAlign w:val="center"/>
          </w:tcPr>
          <w:p>
            <w:pPr>
              <w:keepNext w:val="0"/>
              <w:spacing w:line="252" w:lineRule="auto" w:before="60" w:after="60"/>
            </w:pPr>
            <w:r>
              <w:rPr>
                <w:b w:val="0"/>
                <w:sz w:val="19"/>
              </w:rPr>
              <w:t>18</w:t>
            </w:r>
          </w:p>
        </w:tc>
        <w:tc>
          <w:tcPr>
            <w:tcW w:type="dxa" w:w="2494"/>
            <w:vAlign w:val="center"/>
          </w:tcPr>
          <w:p>
            <w:pPr>
              <w:keepNext w:val="0"/>
              <w:spacing w:line="252" w:lineRule="auto" w:before="60" w:after="60"/>
            </w:pPr>
            <w:r>
              <w:rPr>
                <w:b w:val="0"/>
                <w:sz w:val="19"/>
              </w:rPr>
              <w:t>+27.98</w:t>
            </w:r>
          </w:p>
        </w:tc>
        <w:tc>
          <w:tcPr>
            <w:tcW w:type="dxa" w:w="2262"/>
            <w:vAlign w:val="center"/>
          </w:tcPr>
          <w:p>
            <w:pPr>
              <w:keepNext w:val="0"/>
              <w:spacing w:line="252" w:lineRule="auto" w:before="60" w:after="60"/>
            </w:pPr>
            <w:r>
              <w:rPr>
                <w:b w:val="0"/>
                <w:sz w:val="19"/>
              </w:rPr>
              <w:t>+17.24 to +47.15</w:t>
            </w:r>
          </w:p>
        </w:tc>
      </w:tr>
    </w:tbl>
    <w:p>
      <w:pPr>
        <w:spacing w:line="252" w:lineRule="auto"/>
      </w:pPr>
      <w:r>
        <w:rPr>
          <w:sz w:val="18"/>
        </w:rPr>
        <w:t>Notes: This table concerns Q only. It diagnoses concentration in the narrow construct; it does not resolve whether examples belong in the estimand.</w:t>
      </w:r>
    </w:p>
    <w:p>
      <w:r>
        <w:t>The local-parent diagnostic instead groups the normalized joint target-specific qualification text and scope signature within each firm. It yields 95 groups in the 105-advertisement robot-learning sample and 56 in the 66-advertisement common-mention subset. Six repeated groups contain 16 advertisements in either subset. Missing or unlocated target-parent evidence receives an advertisement-specific fallback. Equal weight is assigned first to firms, then local groups and then advertisements within a group.</w:t>
      </w:r>
    </w:p>
    <w:p>
      <w:pPr>
        <w:pStyle w:val="Caption"/>
      </w:pPr>
      <w:r>
        <w:t>Supplementary Table S3. Robot-learning contrasts under local-parent weighting</w:t>
      </w:r>
    </w:p>
    <w:tbl>
      <w:tblPr>
        <w:tblW w:type="auto" w:w="0"/>
        <w:tblLayout w:type="fixed"/>
        <w:tblLook w:firstColumn="1" w:firstRow="1" w:lastColumn="0" w:lastRow="0" w:noHBand="0" w:noVBand="1" w:val="04A0"/>
        <w:tblBorders>
          <w:top w:val="single" w:sz="4" w:color="B0B0B0"/>
          <w:bottom w:val="single" w:sz="4" w:color="B0B0B0"/>
          <w:insideH w:val="single" w:sz="4" w:color="B0B0B0"/>
        </w:tblBorders>
      </w:tblPr>
      <w:tblGrid>
        <w:gridCol w:w="2154"/>
        <w:gridCol w:w="2568"/>
        <w:gridCol w:w="2568"/>
        <w:gridCol w:w="2568"/>
      </w:tblGrid>
      <w:tr>
        <w:trPr>
          <w:cantSplit/>
          <w:tblHeader/>
        </w:trPr>
        <w:tc>
          <w:tcPr>
            <w:tcW w:type="dxa" w:w="2154"/>
            <w:vAlign w:val="center"/>
            <w:shd w:fill="F2F2F2"/>
          </w:tcPr>
          <w:p>
            <w:pPr>
              <w:keepNext/>
              <w:spacing w:line="252" w:lineRule="auto" w:before="60" w:after="60"/>
            </w:pPr>
            <w:r>
              <w:rPr>
                <w:b/>
                <w:sz w:val="19"/>
              </w:rPr>
              <w:t>Sample</w:t>
            </w:r>
          </w:p>
        </w:tc>
        <w:tc>
          <w:tcPr>
            <w:tcW w:type="dxa" w:w="2568"/>
            <w:vAlign w:val="center"/>
            <w:shd w:fill="F2F2F2"/>
          </w:tcPr>
          <w:p>
            <w:pPr>
              <w:keepNext/>
              <w:spacing w:line="252" w:lineRule="auto" w:before="60" w:after="60"/>
            </w:pPr>
            <w:r>
              <w:rPr>
                <w:b/>
                <w:sz w:val="19"/>
              </w:rPr>
              <w:t>Construct</w:t>
            </w:r>
          </w:p>
        </w:tc>
        <w:tc>
          <w:tcPr>
            <w:tcW w:type="dxa" w:w="2568"/>
            <w:vAlign w:val="center"/>
            <w:shd w:fill="F2F2F2"/>
          </w:tcPr>
          <w:p>
            <w:pPr>
              <w:keepNext/>
              <w:spacing w:line="252" w:lineRule="auto" w:before="60" w:after="60"/>
            </w:pPr>
            <w:r>
              <w:rPr>
                <w:b/>
                <w:sz w:val="19"/>
              </w:rPr>
              <w:t>Confirmed Python−PyTorch pp</w:t>
            </w:r>
          </w:p>
        </w:tc>
        <w:tc>
          <w:tcPr>
            <w:tcW w:type="dxa" w:w="2568"/>
            <w:vAlign w:val="center"/>
            <w:shd w:fill="F2F2F2"/>
          </w:tcPr>
          <w:p>
            <w:pPr>
              <w:keepNext/>
              <w:spacing w:line="252" w:lineRule="auto" w:before="60" w:after="60"/>
            </w:pPr>
            <w:r>
              <w:rPr>
                <w:b/>
                <w:sz w:val="19"/>
              </w:rPr>
              <w:t>Outer range pp</w:t>
            </w:r>
          </w:p>
        </w:tc>
      </w:tr>
      <w:tr>
        <w:trPr>
          <w:cantSplit/>
        </w:trPr>
        <w:tc>
          <w:tcPr>
            <w:tcW w:type="dxa" w:w="2154"/>
            <w:vAlign w:val="center"/>
          </w:tcPr>
          <w:p>
            <w:pPr>
              <w:keepNext w:val="0"/>
              <w:spacing w:line="252" w:lineRule="auto" w:before="60" w:after="60"/>
            </w:pPr>
            <w:r>
              <w:rPr>
                <w:b w:val="0"/>
                <w:sz w:val="19"/>
              </w:rPr>
              <w:t>All 105 advertisements</w:t>
            </w:r>
          </w:p>
        </w:tc>
        <w:tc>
          <w:tcPr>
            <w:tcW w:type="dxa" w:w="2568"/>
            <w:vAlign w:val="center"/>
          </w:tcPr>
          <w:p>
            <w:pPr>
              <w:keepNext w:val="0"/>
              <w:spacing w:line="252" w:lineRule="auto" w:before="60" w:after="60"/>
            </w:pPr>
            <w:r>
              <w:rPr>
                <w:b w:val="0"/>
                <w:sz w:val="19"/>
              </w:rPr>
              <w:t>M</w:t>
            </w:r>
          </w:p>
        </w:tc>
        <w:tc>
          <w:tcPr>
            <w:tcW w:type="dxa" w:w="2568"/>
            <w:vAlign w:val="center"/>
          </w:tcPr>
          <w:p>
            <w:pPr>
              <w:keepNext w:val="0"/>
              <w:spacing w:line="252" w:lineRule="auto" w:before="60" w:after="60"/>
            </w:pPr>
            <w:r>
              <w:rPr>
                <w:b w:val="0"/>
                <w:sz w:val="19"/>
              </w:rPr>
              <w:t>−7.83</w:t>
            </w:r>
          </w:p>
        </w:tc>
        <w:tc>
          <w:tcPr>
            <w:tcW w:type="dxa" w:w="2568"/>
            <w:vAlign w:val="center"/>
          </w:tcPr>
          <w:p>
            <w:pPr>
              <w:keepNext w:val="0"/>
              <w:spacing w:line="252" w:lineRule="auto" w:before="60" w:after="60"/>
            </w:pPr>
            <w:r>
              <w:rPr>
                <w:b w:val="0"/>
                <w:sz w:val="19"/>
              </w:rPr>
              <w:t>−7.83 to −7.83</w:t>
            </w:r>
          </w:p>
        </w:tc>
      </w:tr>
      <w:tr>
        <w:trPr>
          <w:cantSplit/>
        </w:trPr>
        <w:tc>
          <w:tcPr>
            <w:tcW w:type="dxa" w:w="2154"/>
            <w:vAlign w:val="center"/>
          </w:tcPr>
          <w:p>
            <w:pPr>
              <w:keepNext w:val="0"/>
              <w:spacing w:line="252" w:lineRule="auto" w:before="60" w:after="60"/>
            </w:pPr>
          </w:p>
        </w:tc>
        <w:tc>
          <w:tcPr>
            <w:tcW w:type="dxa" w:w="2568"/>
            <w:vAlign w:val="center"/>
          </w:tcPr>
          <w:p>
            <w:pPr>
              <w:keepNext w:val="0"/>
              <w:spacing w:line="252" w:lineRule="auto" w:before="60" w:after="60"/>
            </w:pPr>
            <w:r>
              <w:rPr>
                <w:b w:val="0"/>
                <w:sz w:val="19"/>
              </w:rPr>
              <w:t>H</w:t>
            </w:r>
          </w:p>
        </w:tc>
        <w:tc>
          <w:tcPr>
            <w:tcW w:type="dxa" w:w="2568"/>
            <w:vAlign w:val="center"/>
          </w:tcPr>
          <w:p>
            <w:pPr>
              <w:keepNext w:val="0"/>
              <w:spacing w:line="252" w:lineRule="auto" w:before="60" w:after="60"/>
            </w:pPr>
            <w:r>
              <w:rPr>
                <w:b w:val="0"/>
                <w:sz w:val="19"/>
              </w:rPr>
              <w:t>−10.49</w:t>
            </w:r>
          </w:p>
        </w:tc>
        <w:tc>
          <w:tcPr>
            <w:tcW w:type="dxa" w:w="2568"/>
            <w:vAlign w:val="center"/>
          </w:tcPr>
          <w:p>
            <w:pPr>
              <w:keepNext w:val="0"/>
              <w:spacing w:line="252" w:lineRule="auto" w:before="60" w:after="60"/>
            </w:pPr>
            <w:r>
              <w:rPr>
                <w:b w:val="0"/>
                <w:sz w:val="19"/>
              </w:rPr>
              <w:t>−10.49 to −10.49</w:t>
            </w:r>
          </w:p>
        </w:tc>
      </w:tr>
      <w:tr>
        <w:trPr>
          <w:cantSplit/>
        </w:trPr>
        <w:tc>
          <w:tcPr>
            <w:tcW w:type="dxa" w:w="2154"/>
            <w:vAlign w:val="center"/>
          </w:tcPr>
          <w:p>
            <w:pPr>
              <w:keepNext w:val="0"/>
              <w:spacing w:line="252" w:lineRule="auto" w:before="60" w:after="60"/>
            </w:pPr>
          </w:p>
        </w:tc>
        <w:tc>
          <w:tcPr>
            <w:tcW w:type="dxa" w:w="2568"/>
            <w:vAlign w:val="center"/>
          </w:tcPr>
          <w:p>
            <w:pPr>
              <w:keepNext w:val="0"/>
              <w:spacing w:line="252" w:lineRule="auto" w:before="60" w:after="60"/>
            </w:pPr>
            <w:r>
              <w:rPr>
                <w:b w:val="0"/>
                <w:sz w:val="19"/>
              </w:rPr>
              <w:t>Q</w:t>
            </w:r>
          </w:p>
        </w:tc>
        <w:tc>
          <w:tcPr>
            <w:tcW w:type="dxa" w:w="2568"/>
            <w:vAlign w:val="center"/>
          </w:tcPr>
          <w:p>
            <w:pPr>
              <w:keepNext w:val="0"/>
              <w:spacing w:line="252" w:lineRule="auto" w:before="60" w:after="60"/>
            </w:pPr>
            <w:r>
              <w:rPr>
                <w:b w:val="0"/>
                <w:sz w:val="19"/>
              </w:rPr>
              <w:t>+18.60</w:t>
            </w:r>
          </w:p>
        </w:tc>
        <w:tc>
          <w:tcPr>
            <w:tcW w:type="dxa" w:w="2568"/>
            <w:vAlign w:val="center"/>
          </w:tcPr>
          <w:p>
            <w:pPr>
              <w:keepNext w:val="0"/>
              <w:spacing w:line="252" w:lineRule="auto" w:before="60" w:after="60"/>
            </w:pPr>
            <w:r>
              <w:rPr>
                <w:b w:val="0"/>
                <w:sz w:val="19"/>
              </w:rPr>
              <w:t>+13.02 to +29.43</w:t>
            </w:r>
          </w:p>
        </w:tc>
      </w:tr>
      <w:tr>
        <w:trPr>
          <w:cantSplit/>
        </w:trPr>
        <w:tc>
          <w:tcPr>
            <w:tcW w:type="dxa" w:w="2154"/>
            <w:vAlign w:val="center"/>
          </w:tcPr>
          <w:p>
            <w:pPr>
              <w:keepNext w:val="0"/>
              <w:spacing w:line="252" w:lineRule="auto" w:before="60" w:after="60"/>
            </w:pPr>
          </w:p>
        </w:tc>
        <w:tc>
          <w:tcPr>
            <w:tcW w:type="dxa" w:w="2568"/>
            <w:vAlign w:val="center"/>
          </w:tcPr>
          <w:p>
            <w:pPr>
              <w:keepNext w:val="0"/>
              <w:spacing w:line="252" w:lineRule="auto" w:before="60" w:after="60"/>
            </w:pPr>
            <w:r>
              <w:rPr>
                <w:b w:val="0"/>
                <w:sz w:val="19"/>
              </w:rPr>
              <w:t>Q plus all recorded examples</w:t>
            </w:r>
          </w:p>
        </w:tc>
        <w:tc>
          <w:tcPr>
            <w:tcW w:type="dxa" w:w="2568"/>
            <w:vAlign w:val="center"/>
          </w:tcPr>
          <w:p>
            <w:pPr>
              <w:keepNext w:val="0"/>
              <w:spacing w:line="252" w:lineRule="auto" w:before="60" w:after="60"/>
            </w:pPr>
            <w:r>
              <w:rPr>
                <w:b w:val="0"/>
                <w:sz w:val="19"/>
              </w:rPr>
              <w:t>−11.52</w:t>
            </w:r>
          </w:p>
        </w:tc>
        <w:tc>
          <w:tcPr>
            <w:tcW w:type="dxa" w:w="2568"/>
            <w:vAlign w:val="center"/>
          </w:tcPr>
          <w:p>
            <w:pPr>
              <w:keepNext w:val="0"/>
              <w:spacing w:line="252" w:lineRule="auto" w:before="60" w:after="60"/>
            </w:pPr>
            <w:r>
              <w:rPr>
                <w:b w:val="0"/>
                <w:sz w:val="19"/>
              </w:rPr>
              <w:t>−14.07 to −0.68</w:t>
            </w:r>
          </w:p>
        </w:tc>
      </w:tr>
      <w:tr>
        <w:trPr>
          <w:cantSplit/>
        </w:trPr>
        <w:tc>
          <w:tcPr>
            <w:tcW w:type="dxa" w:w="2154"/>
            <w:vAlign w:val="center"/>
          </w:tcPr>
          <w:p>
            <w:pPr>
              <w:keepNext w:val="0"/>
              <w:spacing w:line="252" w:lineRule="auto" w:before="60" w:after="60"/>
            </w:pPr>
          </w:p>
        </w:tc>
        <w:tc>
          <w:tcPr>
            <w:tcW w:type="dxa" w:w="2568"/>
            <w:vAlign w:val="center"/>
          </w:tcPr>
          <w:p>
            <w:pPr>
              <w:keepNext w:val="0"/>
              <w:spacing w:line="252" w:lineRule="auto" w:before="60" w:after="60"/>
            </w:pPr>
            <w:r>
              <w:rPr>
                <w:b w:val="0"/>
                <w:sz w:val="19"/>
              </w:rPr>
              <w:t>Q plus choices/all recorded examples</w:t>
            </w:r>
          </w:p>
        </w:tc>
        <w:tc>
          <w:tcPr>
            <w:tcW w:type="dxa" w:w="2568"/>
            <w:vAlign w:val="center"/>
          </w:tcPr>
          <w:p>
            <w:pPr>
              <w:keepNext w:val="0"/>
              <w:spacing w:line="252" w:lineRule="auto" w:before="60" w:after="60"/>
            </w:pPr>
            <w:r>
              <w:rPr>
                <w:b w:val="0"/>
                <w:sz w:val="19"/>
              </w:rPr>
              <w:t>−18.77</w:t>
            </w:r>
          </w:p>
        </w:tc>
        <w:tc>
          <w:tcPr>
            <w:tcW w:type="dxa" w:w="2568"/>
            <w:vAlign w:val="center"/>
          </w:tcPr>
          <w:p>
            <w:pPr>
              <w:keepNext w:val="0"/>
              <w:spacing w:line="252" w:lineRule="auto" w:before="60" w:after="60"/>
            </w:pPr>
            <w:r>
              <w:rPr>
                <w:b w:val="0"/>
                <w:sz w:val="19"/>
              </w:rPr>
              <w:t>−21.32 to −7.94</w:t>
            </w:r>
          </w:p>
        </w:tc>
      </w:tr>
      <w:tr>
        <w:trPr>
          <w:cantSplit/>
        </w:trPr>
        <w:tc>
          <w:tcPr>
            <w:tcW w:type="dxa" w:w="2154"/>
            <w:vAlign w:val="center"/>
          </w:tcPr>
          <w:p>
            <w:pPr>
              <w:keepNext w:val="0"/>
              <w:spacing w:line="252" w:lineRule="auto" w:before="60" w:after="60"/>
            </w:pPr>
            <w:r>
              <w:rPr>
                <w:b w:val="0"/>
                <w:sz w:val="19"/>
              </w:rPr>
              <w:t>Both mentioned, 66</w:t>
            </w:r>
          </w:p>
        </w:tc>
        <w:tc>
          <w:tcPr>
            <w:tcW w:type="dxa" w:w="2568"/>
            <w:vAlign w:val="center"/>
          </w:tcPr>
          <w:p>
            <w:pPr>
              <w:keepNext w:val="0"/>
              <w:spacing w:line="252" w:lineRule="auto" w:before="60" w:after="60"/>
            </w:pPr>
            <w:r>
              <w:rPr>
                <w:b w:val="0"/>
                <w:sz w:val="19"/>
              </w:rPr>
              <w:t>H</w:t>
            </w:r>
          </w:p>
        </w:tc>
        <w:tc>
          <w:tcPr>
            <w:tcW w:type="dxa" w:w="2568"/>
            <w:vAlign w:val="center"/>
          </w:tcPr>
          <w:p>
            <w:pPr>
              <w:keepNext w:val="0"/>
              <w:spacing w:line="252" w:lineRule="auto" w:before="60" w:after="60"/>
            </w:pPr>
            <w:r>
              <w:rPr>
                <w:b w:val="0"/>
                <w:sz w:val="19"/>
              </w:rPr>
              <w:t>−5.56</w:t>
            </w:r>
          </w:p>
        </w:tc>
        <w:tc>
          <w:tcPr>
            <w:tcW w:type="dxa" w:w="2568"/>
            <w:vAlign w:val="center"/>
          </w:tcPr>
          <w:p>
            <w:pPr>
              <w:keepNext w:val="0"/>
              <w:spacing w:line="252" w:lineRule="auto" w:before="60" w:after="60"/>
            </w:pPr>
            <w:r>
              <w:rPr>
                <w:b w:val="0"/>
                <w:sz w:val="19"/>
              </w:rPr>
              <w:t>−5.56 to −5.56</w:t>
            </w:r>
          </w:p>
        </w:tc>
      </w:tr>
      <w:tr>
        <w:trPr>
          <w:cantSplit/>
        </w:trPr>
        <w:tc>
          <w:tcPr>
            <w:tcW w:type="dxa" w:w="2154"/>
            <w:vAlign w:val="center"/>
          </w:tcPr>
          <w:p>
            <w:pPr>
              <w:keepNext w:val="0"/>
              <w:spacing w:line="252" w:lineRule="auto" w:before="60" w:after="60"/>
            </w:pPr>
          </w:p>
        </w:tc>
        <w:tc>
          <w:tcPr>
            <w:tcW w:type="dxa" w:w="2568"/>
            <w:vAlign w:val="center"/>
          </w:tcPr>
          <w:p>
            <w:pPr>
              <w:keepNext w:val="0"/>
              <w:spacing w:line="252" w:lineRule="auto" w:before="60" w:after="60"/>
            </w:pPr>
            <w:r>
              <w:rPr>
                <w:b w:val="0"/>
                <w:sz w:val="19"/>
              </w:rPr>
              <w:t>Q</w:t>
            </w:r>
          </w:p>
        </w:tc>
        <w:tc>
          <w:tcPr>
            <w:tcW w:type="dxa" w:w="2568"/>
            <w:vAlign w:val="center"/>
          </w:tcPr>
          <w:p>
            <w:pPr>
              <w:keepNext w:val="0"/>
              <w:spacing w:line="252" w:lineRule="auto" w:before="60" w:after="60"/>
            </w:pPr>
            <w:r>
              <w:rPr>
                <w:b w:val="0"/>
                <w:sz w:val="19"/>
              </w:rPr>
              <w:t>+26.12</w:t>
            </w:r>
          </w:p>
        </w:tc>
        <w:tc>
          <w:tcPr>
            <w:tcW w:type="dxa" w:w="2568"/>
            <w:vAlign w:val="center"/>
          </w:tcPr>
          <w:p>
            <w:pPr>
              <w:keepNext w:val="0"/>
              <w:spacing w:line="252" w:lineRule="auto" w:before="60" w:after="60"/>
            </w:pPr>
            <w:r>
              <w:rPr>
                <w:b w:val="0"/>
                <w:sz w:val="19"/>
              </w:rPr>
              <w:t>+15.38 to +45.00</w:t>
            </w:r>
          </w:p>
        </w:tc>
      </w:tr>
      <w:tr>
        <w:trPr>
          <w:cantSplit/>
        </w:trPr>
        <w:tc>
          <w:tcPr>
            <w:tcW w:type="dxa" w:w="2154"/>
            <w:vAlign w:val="center"/>
          </w:tcPr>
          <w:p>
            <w:pPr>
              <w:keepNext w:val="0"/>
              <w:spacing w:line="252" w:lineRule="auto" w:before="60" w:after="60"/>
            </w:pPr>
          </w:p>
        </w:tc>
        <w:tc>
          <w:tcPr>
            <w:tcW w:type="dxa" w:w="2568"/>
            <w:vAlign w:val="center"/>
          </w:tcPr>
          <w:p>
            <w:pPr>
              <w:keepNext w:val="0"/>
              <w:spacing w:line="252" w:lineRule="auto" w:before="60" w:after="60"/>
            </w:pPr>
            <w:r>
              <w:rPr>
                <w:b w:val="0"/>
                <w:sz w:val="19"/>
              </w:rPr>
              <w:t>Q plus all recorded examples</w:t>
            </w:r>
          </w:p>
        </w:tc>
        <w:tc>
          <w:tcPr>
            <w:tcW w:type="dxa" w:w="2568"/>
            <w:vAlign w:val="center"/>
          </w:tcPr>
          <w:p>
            <w:pPr>
              <w:keepNext w:val="0"/>
              <w:spacing w:line="252" w:lineRule="auto" w:before="60" w:after="60"/>
            </w:pPr>
            <w:r>
              <w:rPr>
                <w:b w:val="0"/>
                <w:sz w:val="19"/>
              </w:rPr>
              <w:t>−16.14</w:t>
            </w:r>
          </w:p>
        </w:tc>
        <w:tc>
          <w:tcPr>
            <w:tcW w:type="dxa" w:w="2568"/>
            <w:vAlign w:val="center"/>
          </w:tcPr>
          <w:p>
            <w:pPr>
              <w:keepNext w:val="0"/>
              <w:spacing w:line="252" w:lineRule="auto" w:before="60" w:after="60"/>
            </w:pPr>
            <w:r>
              <w:rPr>
                <w:b w:val="0"/>
                <w:sz w:val="19"/>
              </w:rPr>
              <w:t>−21.32 to +2.74</w:t>
            </w:r>
          </w:p>
        </w:tc>
      </w:tr>
      <w:tr>
        <w:trPr>
          <w:cantSplit/>
        </w:trPr>
        <w:tc>
          <w:tcPr>
            <w:tcW w:type="dxa" w:w="2154"/>
            <w:vAlign w:val="center"/>
          </w:tcPr>
          <w:p>
            <w:pPr>
              <w:keepNext w:val="0"/>
              <w:spacing w:line="252" w:lineRule="auto" w:before="60" w:after="60"/>
            </w:pPr>
          </w:p>
        </w:tc>
        <w:tc>
          <w:tcPr>
            <w:tcW w:type="dxa" w:w="2568"/>
            <w:vAlign w:val="center"/>
          </w:tcPr>
          <w:p>
            <w:pPr>
              <w:keepNext w:val="0"/>
              <w:spacing w:line="252" w:lineRule="auto" w:before="60" w:after="60"/>
            </w:pPr>
            <w:r>
              <w:rPr>
                <w:b w:val="0"/>
                <w:sz w:val="19"/>
              </w:rPr>
              <w:t>Q plus choices/all recorded examples</w:t>
            </w:r>
          </w:p>
        </w:tc>
        <w:tc>
          <w:tcPr>
            <w:tcW w:type="dxa" w:w="2568"/>
            <w:vAlign w:val="center"/>
          </w:tcPr>
          <w:p>
            <w:pPr>
              <w:keepNext w:val="0"/>
              <w:spacing w:line="252" w:lineRule="auto" w:before="60" w:after="60"/>
            </w:pPr>
            <w:r>
              <w:rPr>
                <w:b w:val="0"/>
                <w:sz w:val="19"/>
              </w:rPr>
              <w:t>−19.25</w:t>
            </w:r>
          </w:p>
        </w:tc>
        <w:tc>
          <w:tcPr>
            <w:tcW w:type="dxa" w:w="2568"/>
            <w:vAlign w:val="center"/>
          </w:tcPr>
          <w:p>
            <w:pPr>
              <w:keepNext w:val="0"/>
              <w:spacing w:line="252" w:lineRule="auto" w:before="60" w:after="60"/>
            </w:pPr>
            <w:r>
              <w:rPr>
                <w:b w:val="0"/>
                <w:sz w:val="19"/>
              </w:rPr>
              <w:t>−24.43 to −0.37</w:t>
            </w:r>
          </w:p>
        </w:tc>
      </w:tr>
    </w:tbl>
    <w:p>
      <w:pPr>
        <w:spacing w:line="252" w:lineRule="auto"/>
      </w:pPr>
      <w:r>
        <w:rPr>
          <w:sz w:val="18"/>
        </w:rPr>
        <w:t>Notes: This is a repetition diagnostic. Exact local wording does not control all templates, firm style or job composition.</w:t>
      </w:r>
    </w:p>
    <w:p>
      <w:pPr>
        <w:pStyle w:val="Heading1"/>
      </w:pPr>
      <w:r>
        <w:t>S5  Common mention joint states</w:t>
      </w:r>
    </w:p>
    <w:p>
      <w:pPr>
        <w:pStyle w:val="Caption"/>
      </w:pPr>
      <w:r>
        <w:t>Supplementary Table S4. Narrow-Q joint states</w:t>
      </w:r>
    </w:p>
    <w:tbl>
      <w:tblPr>
        <w:tblW w:type="auto" w:w="0"/>
        <w:tblLayout w:type="fixed"/>
        <w:tblLook w:firstColumn="1" w:firstRow="1" w:lastColumn="0" w:lastRow="0" w:noHBand="0" w:noVBand="1" w:val="04A0"/>
        <w:tblBorders>
          <w:top w:val="single" w:sz="4" w:color="B0B0B0"/>
          <w:bottom w:val="single" w:sz="4" w:color="B0B0B0"/>
          <w:insideH w:val="single" w:sz="4" w:color="B0B0B0"/>
        </w:tblBorders>
      </w:tblPr>
      <w:tblGrid>
        <w:gridCol w:w="1871"/>
        <w:gridCol w:w="799"/>
        <w:gridCol w:w="799"/>
        <w:gridCol w:w="799"/>
        <w:gridCol w:w="799"/>
        <w:gridCol w:w="799"/>
        <w:gridCol w:w="799"/>
        <w:gridCol w:w="799"/>
        <w:gridCol w:w="799"/>
        <w:gridCol w:w="799"/>
        <w:gridCol w:w="799"/>
      </w:tblGrid>
      <w:tr>
        <w:trPr>
          <w:cantSplit/>
          <w:tblHeader/>
        </w:trPr>
        <w:tc>
          <w:tcPr>
            <w:tcW w:type="dxa" w:w="1871"/>
            <w:vAlign w:val="center"/>
            <w:shd w:fill="F2F2F2"/>
          </w:tcPr>
          <w:p>
            <w:pPr>
              <w:keepNext/>
              <w:spacing w:line="252" w:lineRule="auto" w:before="60" w:after="60"/>
            </w:pPr>
            <w:r>
              <w:rPr>
                <w:b/>
                <w:sz w:val="18"/>
              </w:rPr>
              <w:t>Pair</w:t>
            </w:r>
          </w:p>
        </w:tc>
        <w:tc>
          <w:tcPr>
            <w:tcW w:type="dxa" w:w="799"/>
            <w:vAlign w:val="center"/>
            <w:shd w:fill="F2F2F2"/>
          </w:tcPr>
          <w:p>
            <w:pPr>
              <w:keepNext/>
              <w:spacing w:line="252" w:lineRule="auto" w:before="60" w:after="60"/>
            </w:pPr>
            <w:r>
              <w:rPr>
                <w:b/>
                <w:sz w:val="18"/>
              </w:rPr>
              <w:t>P/P</w:t>
            </w:r>
          </w:p>
        </w:tc>
        <w:tc>
          <w:tcPr>
            <w:tcW w:type="dxa" w:w="799"/>
            <w:vAlign w:val="center"/>
            <w:shd w:fill="F2F2F2"/>
          </w:tcPr>
          <w:p>
            <w:pPr>
              <w:keepNext/>
              <w:spacing w:line="252" w:lineRule="auto" w:before="60" w:after="60"/>
            </w:pPr>
            <w:r>
              <w:rPr>
                <w:b/>
                <w:sz w:val="18"/>
              </w:rPr>
              <w:t>P/Z</w:t>
            </w:r>
          </w:p>
        </w:tc>
        <w:tc>
          <w:tcPr>
            <w:tcW w:type="dxa" w:w="799"/>
            <w:vAlign w:val="center"/>
            <w:shd w:fill="F2F2F2"/>
          </w:tcPr>
          <w:p>
            <w:pPr>
              <w:keepNext/>
              <w:spacing w:line="252" w:lineRule="auto" w:before="60" w:after="60"/>
            </w:pPr>
            <w:r>
              <w:rPr>
                <w:b/>
                <w:sz w:val="18"/>
              </w:rPr>
              <w:t>P/U</w:t>
            </w:r>
          </w:p>
        </w:tc>
        <w:tc>
          <w:tcPr>
            <w:tcW w:type="dxa" w:w="799"/>
            <w:vAlign w:val="center"/>
            <w:shd w:fill="F2F2F2"/>
          </w:tcPr>
          <w:p>
            <w:pPr>
              <w:keepNext/>
              <w:spacing w:line="252" w:lineRule="auto" w:before="60" w:after="60"/>
            </w:pPr>
            <w:r>
              <w:rPr>
                <w:b/>
                <w:sz w:val="18"/>
              </w:rPr>
              <w:t>Z/P</w:t>
            </w:r>
          </w:p>
        </w:tc>
        <w:tc>
          <w:tcPr>
            <w:tcW w:type="dxa" w:w="799"/>
            <w:vAlign w:val="center"/>
            <w:shd w:fill="F2F2F2"/>
          </w:tcPr>
          <w:p>
            <w:pPr>
              <w:keepNext/>
              <w:spacing w:line="252" w:lineRule="auto" w:before="60" w:after="60"/>
            </w:pPr>
            <w:r>
              <w:rPr>
                <w:b/>
                <w:sz w:val="18"/>
              </w:rPr>
              <w:t>Z/Z</w:t>
            </w:r>
          </w:p>
        </w:tc>
        <w:tc>
          <w:tcPr>
            <w:tcW w:type="dxa" w:w="799"/>
            <w:vAlign w:val="center"/>
            <w:shd w:fill="F2F2F2"/>
          </w:tcPr>
          <w:p>
            <w:pPr>
              <w:keepNext/>
              <w:spacing w:line="252" w:lineRule="auto" w:before="60" w:after="60"/>
            </w:pPr>
            <w:r>
              <w:rPr>
                <w:b/>
                <w:sz w:val="18"/>
              </w:rPr>
              <w:t>Z/U</w:t>
            </w:r>
          </w:p>
        </w:tc>
        <w:tc>
          <w:tcPr>
            <w:tcW w:type="dxa" w:w="799"/>
            <w:vAlign w:val="center"/>
            <w:shd w:fill="F2F2F2"/>
          </w:tcPr>
          <w:p>
            <w:pPr>
              <w:keepNext/>
              <w:spacing w:line="252" w:lineRule="auto" w:before="60" w:after="60"/>
            </w:pPr>
            <w:r>
              <w:rPr>
                <w:b/>
                <w:sz w:val="18"/>
              </w:rPr>
              <w:t>U/P</w:t>
            </w:r>
          </w:p>
        </w:tc>
        <w:tc>
          <w:tcPr>
            <w:tcW w:type="dxa" w:w="799"/>
            <w:vAlign w:val="center"/>
            <w:shd w:fill="F2F2F2"/>
          </w:tcPr>
          <w:p>
            <w:pPr>
              <w:keepNext/>
              <w:spacing w:line="252" w:lineRule="auto" w:before="60" w:after="60"/>
            </w:pPr>
            <w:r>
              <w:rPr>
                <w:b/>
                <w:sz w:val="18"/>
              </w:rPr>
              <w:t>U/Z</w:t>
            </w:r>
          </w:p>
        </w:tc>
        <w:tc>
          <w:tcPr>
            <w:tcW w:type="dxa" w:w="799"/>
            <w:vAlign w:val="center"/>
            <w:shd w:fill="F2F2F2"/>
          </w:tcPr>
          <w:p>
            <w:pPr>
              <w:keepNext/>
              <w:spacing w:line="252" w:lineRule="auto" w:before="60" w:after="60"/>
            </w:pPr>
            <w:r>
              <w:rPr>
                <w:b/>
                <w:sz w:val="18"/>
              </w:rPr>
              <w:t>U/U</w:t>
            </w:r>
          </w:p>
        </w:tc>
        <w:tc>
          <w:tcPr>
            <w:tcW w:type="dxa" w:w="799"/>
            <w:vAlign w:val="center"/>
            <w:shd w:fill="F2F2F2"/>
          </w:tcPr>
          <w:p>
            <w:pPr>
              <w:keepNext/>
              <w:spacing w:line="252" w:lineRule="auto" w:before="60" w:after="60"/>
            </w:pPr>
            <w:r>
              <w:rPr>
                <w:b/>
                <w:sz w:val="18"/>
              </w:rPr>
              <w:t>Total</w:t>
            </w:r>
          </w:p>
        </w:tc>
      </w:tr>
      <w:tr>
        <w:trPr>
          <w:cantSplit/>
        </w:trPr>
        <w:tc>
          <w:tcPr>
            <w:tcW w:type="dxa" w:w="1871"/>
            <w:vAlign w:val="center"/>
          </w:tcPr>
          <w:p>
            <w:pPr>
              <w:keepNext w:val="0"/>
              <w:spacing w:line="252" w:lineRule="auto" w:before="60" w:after="60"/>
            </w:pPr>
            <w:r>
              <w:rPr>
                <w:b w:val="0"/>
                <w:sz w:val="18"/>
              </w:rPr>
              <w:t>Python / PyTorch</w:t>
            </w:r>
          </w:p>
        </w:tc>
        <w:tc>
          <w:tcPr>
            <w:tcW w:type="dxa" w:w="799"/>
            <w:vAlign w:val="center"/>
          </w:tcPr>
          <w:p>
            <w:pPr>
              <w:keepNext w:val="0"/>
              <w:spacing w:line="252" w:lineRule="auto" w:before="60" w:after="60"/>
            </w:pPr>
            <w:r>
              <w:rPr>
                <w:b w:val="0"/>
                <w:sz w:val="18"/>
              </w:rPr>
              <w:t>14</w:t>
            </w:r>
          </w:p>
        </w:tc>
        <w:tc>
          <w:tcPr>
            <w:tcW w:type="dxa" w:w="799"/>
            <w:vAlign w:val="center"/>
          </w:tcPr>
          <w:p>
            <w:pPr>
              <w:keepNext w:val="0"/>
              <w:spacing w:line="252" w:lineRule="auto" w:before="60" w:after="60"/>
            </w:pPr>
            <w:r>
              <w:rPr>
                <w:b w:val="0"/>
                <w:sz w:val="18"/>
              </w:rPr>
              <w:t>22</w:t>
            </w:r>
          </w:p>
        </w:tc>
        <w:tc>
          <w:tcPr>
            <w:tcW w:type="dxa" w:w="799"/>
            <w:vAlign w:val="center"/>
          </w:tcPr>
          <w:p>
            <w:pPr>
              <w:keepNext w:val="0"/>
              <w:spacing w:line="252" w:lineRule="auto" w:before="60" w:after="60"/>
            </w:pPr>
            <w:r>
              <w:rPr>
                <w:b w:val="0"/>
                <w:sz w:val="18"/>
              </w:rPr>
              <w:t>1</w:t>
            </w:r>
          </w:p>
        </w:tc>
        <w:tc>
          <w:tcPr>
            <w:tcW w:type="dxa" w:w="799"/>
            <w:vAlign w:val="center"/>
          </w:tcPr>
          <w:p>
            <w:pPr>
              <w:keepNext w:val="0"/>
              <w:spacing w:line="252" w:lineRule="auto" w:before="60" w:after="60"/>
            </w:pPr>
            <w:r>
              <w:rPr>
                <w:b w:val="0"/>
                <w:sz w:val="18"/>
              </w:rPr>
              <w:t>1</w:t>
            </w:r>
          </w:p>
        </w:tc>
        <w:tc>
          <w:tcPr>
            <w:tcW w:type="dxa" w:w="799"/>
            <w:vAlign w:val="center"/>
          </w:tcPr>
          <w:p>
            <w:pPr>
              <w:keepNext w:val="0"/>
              <w:spacing w:line="252" w:lineRule="auto" w:before="60" w:after="60"/>
            </w:pPr>
            <w:r>
              <w:rPr>
                <w:b w:val="0"/>
                <w:sz w:val="18"/>
              </w:rPr>
              <w:t>11</w:t>
            </w:r>
          </w:p>
        </w:tc>
        <w:tc>
          <w:tcPr>
            <w:tcW w:type="dxa" w:w="799"/>
            <w:vAlign w:val="center"/>
          </w:tcPr>
          <w:p>
            <w:pPr>
              <w:keepNext w:val="0"/>
              <w:spacing w:line="252" w:lineRule="auto" w:before="60" w:after="60"/>
            </w:pPr>
            <w:r>
              <w:rPr>
                <w:b w:val="0"/>
                <w:sz w:val="18"/>
              </w:rPr>
              <w:t>2</w:t>
            </w:r>
          </w:p>
        </w:tc>
        <w:tc>
          <w:tcPr>
            <w:tcW w:type="dxa" w:w="799"/>
            <w:vAlign w:val="center"/>
          </w:tcPr>
          <w:p>
            <w:pPr>
              <w:keepNext w:val="0"/>
              <w:spacing w:line="252" w:lineRule="auto" w:before="60" w:after="60"/>
            </w:pPr>
            <w:r>
              <w:rPr>
                <w:b w:val="0"/>
                <w:sz w:val="18"/>
              </w:rPr>
              <w:t>3</w:t>
            </w:r>
          </w:p>
        </w:tc>
        <w:tc>
          <w:tcPr>
            <w:tcW w:type="dxa" w:w="799"/>
            <w:vAlign w:val="center"/>
          </w:tcPr>
          <w:p>
            <w:pPr>
              <w:keepNext w:val="0"/>
              <w:spacing w:line="252" w:lineRule="auto" w:before="60" w:after="60"/>
            </w:pPr>
            <w:r>
              <w:rPr>
                <w:b w:val="0"/>
                <w:sz w:val="18"/>
              </w:rPr>
              <w:t>10</w:t>
            </w:r>
          </w:p>
        </w:tc>
        <w:tc>
          <w:tcPr>
            <w:tcW w:type="dxa" w:w="799"/>
            <w:vAlign w:val="center"/>
          </w:tcPr>
          <w:p>
            <w:pPr>
              <w:keepNext w:val="0"/>
              <w:spacing w:line="252" w:lineRule="auto" w:before="60" w:after="60"/>
            </w:pPr>
            <w:r>
              <w:rPr>
                <w:b w:val="0"/>
                <w:sz w:val="18"/>
              </w:rPr>
              <w:t>2</w:t>
            </w:r>
          </w:p>
        </w:tc>
        <w:tc>
          <w:tcPr>
            <w:tcW w:type="dxa" w:w="799"/>
            <w:vAlign w:val="center"/>
          </w:tcPr>
          <w:p>
            <w:pPr>
              <w:keepNext w:val="0"/>
              <w:spacing w:line="252" w:lineRule="auto" w:before="60" w:after="60"/>
            </w:pPr>
            <w:r>
              <w:rPr>
                <w:b w:val="0"/>
                <w:sz w:val="18"/>
              </w:rPr>
              <w:t>66</w:t>
            </w:r>
          </w:p>
        </w:tc>
      </w:tr>
      <w:tr>
        <w:trPr>
          <w:cantSplit/>
        </w:trPr>
        <w:tc>
          <w:tcPr>
            <w:tcW w:type="dxa" w:w="1871"/>
            <w:vAlign w:val="center"/>
          </w:tcPr>
          <w:p>
            <w:pPr>
              <w:keepNext w:val="0"/>
              <w:spacing w:line="252" w:lineRule="auto" w:before="60" w:after="60"/>
            </w:pPr>
            <w:r>
              <w:rPr>
                <w:b w:val="0"/>
                <w:sz w:val="18"/>
              </w:rPr>
              <w:t>C++ / Linux</w:t>
            </w:r>
          </w:p>
        </w:tc>
        <w:tc>
          <w:tcPr>
            <w:tcW w:type="dxa" w:w="799"/>
            <w:vAlign w:val="center"/>
          </w:tcPr>
          <w:p>
            <w:pPr>
              <w:keepNext w:val="0"/>
              <w:spacing w:line="252" w:lineRule="auto" w:before="60" w:after="60"/>
            </w:pPr>
            <w:r>
              <w:rPr>
                <w:b w:val="0"/>
                <w:sz w:val="18"/>
              </w:rPr>
              <w:t>24</w:t>
            </w:r>
          </w:p>
        </w:tc>
        <w:tc>
          <w:tcPr>
            <w:tcW w:type="dxa" w:w="799"/>
            <w:vAlign w:val="center"/>
          </w:tcPr>
          <w:p>
            <w:pPr>
              <w:keepNext w:val="0"/>
              <w:spacing w:line="252" w:lineRule="auto" w:before="60" w:after="60"/>
            </w:pPr>
            <w:r>
              <w:rPr>
                <w:b w:val="0"/>
                <w:sz w:val="18"/>
              </w:rPr>
              <w:t>1</w:t>
            </w:r>
          </w:p>
        </w:tc>
        <w:tc>
          <w:tcPr>
            <w:tcW w:type="dxa" w:w="799"/>
            <w:vAlign w:val="center"/>
          </w:tcPr>
          <w:p>
            <w:pPr>
              <w:keepNext w:val="0"/>
              <w:spacing w:line="252" w:lineRule="auto" w:before="60" w:after="60"/>
            </w:pPr>
            <w:r>
              <w:rPr>
                <w:b w:val="0"/>
                <w:sz w:val="18"/>
              </w:rPr>
              <w:t>1</w:t>
            </w:r>
          </w:p>
        </w:tc>
        <w:tc>
          <w:tcPr>
            <w:tcW w:type="dxa" w:w="799"/>
            <w:vAlign w:val="center"/>
          </w:tcPr>
          <w:p>
            <w:pPr>
              <w:keepNext w:val="0"/>
              <w:spacing w:line="252" w:lineRule="auto" w:before="60" w:after="60"/>
            </w:pPr>
            <w:r>
              <w:rPr>
                <w:b w:val="0"/>
                <w:sz w:val="18"/>
              </w:rPr>
              <w:t>5</w:t>
            </w:r>
          </w:p>
        </w:tc>
        <w:tc>
          <w:tcPr>
            <w:tcW w:type="dxa" w:w="799"/>
            <w:vAlign w:val="center"/>
          </w:tcPr>
          <w:p>
            <w:pPr>
              <w:keepNext w:val="0"/>
              <w:spacing w:line="252" w:lineRule="auto" w:before="60" w:after="60"/>
            </w:pPr>
            <w:r>
              <w:rPr>
                <w:b w:val="0"/>
                <w:sz w:val="18"/>
              </w:rPr>
              <w:t>1</w:t>
            </w:r>
          </w:p>
        </w:tc>
        <w:tc>
          <w:tcPr>
            <w:tcW w:type="dxa" w:w="799"/>
            <w:vAlign w:val="center"/>
          </w:tcPr>
          <w:p>
            <w:pPr>
              <w:keepNext w:val="0"/>
              <w:spacing w:line="252" w:lineRule="auto" w:before="60" w:after="60"/>
            </w:pPr>
            <w:r>
              <w:rPr>
                <w:b w:val="0"/>
                <w:sz w:val="18"/>
              </w:rPr>
              <w:t>0</w:t>
            </w:r>
          </w:p>
        </w:tc>
        <w:tc>
          <w:tcPr>
            <w:tcW w:type="dxa" w:w="799"/>
            <w:vAlign w:val="center"/>
          </w:tcPr>
          <w:p>
            <w:pPr>
              <w:keepNext w:val="0"/>
              <w:spacing w:line="252" w:lineRule="auto" w:before="60" w:after="60"/>
            </w:pPr>
            <w:r>
              <w:rPr>
                <w:b w:val="0"/>
                <w:sz w:val="18"/>
              </w:rPr>
              <w:t>15</w:t>
            </w:r>
          </w:p>
        </w:tc>
        <w:tc>
          <w:tcPr>
            <w:tcW w:type="dxa" w:w="799"/>
            <w:vAlign w:val="center"/>
          </w:tcPr>
          <w:p>
            <w:pPr>
              <w:keepNext w:val="0"/>
              <w:spacing w:line="252" w:lineRule="auto" w:before="60" w:after="60"/>
            </w:pPr>
            <w:r>
              <w:rPr>
                <w:b w:val="0"/>
                <w:sz w:val="18"/>
              </w:rPr>
              <w:t>1</w:t>
            </w:r>
          </w:p>
        </w:tc>
        <w:tc>
          <w:tcPr>
            <w:tcW w:type="dxa" w:w="799"/>
            <w:vAlign w:val="center"/>
          </w:tcPr>
          <w:p>
            <w:pPr>
              <w:keepNext w:val="0"/>
              <w:spacing w:line="252" w:lineRule="auto" w:before="60" w:after="60"/>
            </w:pPr>
            <w:r>
              <w:rPr>
                <w:b w:val="0"/>
                <w:sz w:val="18"/>
              </w:rPr>
              <w:t>0</w:t>
            </w:r>
          </w:p>
        </w:tc>
        <w:tc>
          <w:tcPr>
            <w:tcW w:type="dxa" w:w="799"/>
            <w:vAlign w:val="center"/>
          </w:tcPr>
          <w:p>
            <w:pPr>
              <w:keepNext w:val="0"/>
              <w:spacing w:line="252" w:lineRule="auto" w:before="60" w:after="60"/>
            </w:pPr>
            <w:r>
              <w:rPr>
                <w:b w:val="0"/>
                <w:sz w:val="18"/>
              </w:rPr>
              <w:t>48</w:t>
            </w:r>
          </w:p>
        </w:tc>
      </w:tr>
      <w:tr>
        <w:trPr>
          <w:cantSplit/>
        </w:trPr>
        <w:tc>
          <w:tcPr>
            <w:tcW w:type="dxa" w:w="1871"/>
            <w:vAlign w:val="center"/>
          </w:tcPr>
          <w:p>
            <w:pPr>
              <w:keepNext w:val="0"/>
              <w:spacing w:line="252" w:lineRule="auto" w:before="60" w:after="60"/>
            </w:pPr>
            <w:r>
              <w:rPr>
                <w:b w:val="0"/>
                <w:sz w:val="18"/>
              </w:rPr>
              <w:t>Altium / EMC/SI/PI</w:t>
            </w:r>
          </w:p>
        </w:tc>
        <w:tc>
          <w:tcPr>
            <w:tcW w:type="dxa" w:w="799"/>
            <w:vAlign w:val="center"/>
          </w:tcPr>
          <w:p>
            <w:pPr>
              <w:keepNext w:val="0"/>
              <w:spacing w:line="252" w:lineRule="auto" w:before="60" w:after="60"/>
            </w:pPr>
            <w:r>
              <w:rPr>
                <w:b w:val="0"/>
                <w:sz w:val="18"/>
              </w:rPr>
              <w:t>2</w:t>
            </w:r>
          </w:p>
        </w:tc>
        <w:tc>
          <w:tcPr>
            <w:tcW w:type="dxa" w:w="799"/>
            <w:vAlign w:val="center"/>
          </w:tcPr>
          <w:p>
            <w:pPr>
              <w:keepNext w:val="0"/>
              <w:spacing w:line="252" w:lineRule="auto" w:before="60" w:after="60"/>
            </w:pPr>
            <w:r>
              <w:rPr>
                <w:b w:val="0"/>
                <w:sz w:val="18"/>
              </w:rPr>
              <w:t>3</w:t>
            </w:r>
          </w:p>
        </w:tc>
        <w:tc>
          <w:tcPr>
            <w:tcW w:type="dxa" w:w="799"/>
            <w:vAlign w:val="center"/>
          </w:tcPr>
          <w:p>
            <w:pPr>
              <w:keepNext w:val="0"/>
              <w:spacing w:line="252" w:lineRule="auto" w:before="60" w:after="60"/>
            </w:pPr>
            <w:r>
              <w:rPr>
                <w:b w:val="0"/>
                <w:sz w:val="18"/>
              </w:rPr>
              <w:t>0</w:t>
            </w:r>
          </w:p>
        </w:tc>
        <w:tc>
          <w:tcPr>
            <w:tcW w:type="dxa" w:w="799"/>
            <w:vAlign w:val="center"/>
          </w:tcPr>
          <w:p>
            <w:pPr>
              <w:keepNext w:val="0"/>
              <w:spacing w:line="252" w:lineRule="auto" w:before="60" w:after="60"/>
            </w:pPr>
            <w:r>
              <w:rPr>
                <w:b w:val="0"/>
                <w:sz w:val="18"/>
              </w:rPr>
              <w:t>3</w:t>
            </w:r>
          </w:p>
        </w:tc>
        <w:tc>
          <w:tcPr>
            <w:tcW w:type="dxa" w:w="799"/>
            <w:vAlign w:val="center"/>
          </w:tcPr>
          <w:p>
            <w:pPr>
              <w:keepNext w:val="0"/>
              <w:spacing w:line="252" w:lineRule="auto" w:before="60" w:after="60"/>
            </w:pPr>
            <w:r>
              <w:rPr>
                <w:b w:val="0"/>
                <w:sz w:val="18"/>
              </w:rPr>
              <w:t>9</w:t>
            </w:r>
          </w:p>
        </w:tc>
        <w:tc>
          <w:tcPr>
            <w:tcW w:type="dxa" w:w="799"/>
            <w:vAlign w:val="center"/>
          </w:tcPr>
          <w:p>
            <w:pPr>
              <w:keepNext w:val="0"/>
              <w:spacing w:line="252" w:lineRule="auto" w:before="60" w:after="60"/>
            </w:pPr>
            <w:r>
              <w:rPr>
                <w:b w:val="0"/>
                <w:sz w:val="18"/>
              </w:rPr>
              <w:t>0</w:t>
            </w:r>
          </w:p>
        </w:tc>
        <w:tc>
          <w:tcPr>
            <w:tcW w:type="dxa" w:w="799"/>
            <w:vAlign w:val="center"/>
          </w:tcPr>
          <w:p>
            <w:pPr>
              <w:keepNext w:val="0"/>
              <w:spacing w:line="252" w:lineRule="auto" w:before="60" w:after="60"/>
            </w:pPr>
            <w:r>
              <w:rPr>
                <w:b w:val="0"/>
                <w:sz w:val="18"/>
              </w:rPr>
              <w:t>0</w:t>
            </w:r>
          </w:p>
        </w:tc>
        <w:tc>
          <w:tcPr>
            <w:tcW w:type="dxa" w:w="799"/>
            <w:vAlign w:val="center"/>
          </w:tcPr>
          <w:p>
            <w:pPr>
              <w:keepNext w:val="0"/>
              <w:spacing w:line="252" w:lineRule="auto" w:before="60" w:after="60"/>
            </w:pPr>
            <w:r>
              <w:rPr>
                <w:b w:val="0"/>
                <w:sz w:val="18"/>
              </w:rPr>
              <w:t>0</w:t>
            </w:r>
          </w:p>
        </w:tc>
        <w:tc>
          <w:tcPr>
            <w:tcW w:type="dxa" w:w="799"/>
            <w:vAlign w:val="center"/>
          </w:tcPr>
          <w:p>
            <w:pPr>
              <w:keepNext w:val="0"/>
              <w:spacing w:line="252" w:lineRule="auto" w:before="60" w:after="60"/>
            </w:pPr>
            <w:r>
              <w:rPr>
                <w:b w:val="0"/>
                <w:sz w:val="18"/>
              </w:rPr>
              <w:t>0</w:t>
            </w:r>
          </w:p>
        </w:tc>
        <w:tc>
          <w:tcPr>
            <w:tcW w:type="dxa" w:w="799"/>
            <w:vAlign w:val="center"/>
          </w:tcPr>
          <w:p>
            <w:pPr>
              <w:keepNext w:val="0"/>
              <w:spacing w:line="252" w:lineRule="auto" w:before="60" w:after="60"/>
            </w:pPr>
            <w:r>
              <w:rPr>
                <w:b w:val="0"/>
                <w:sz w:val="18"/>
              </w:rPr>
              <w:t>17</w:t>
            </w:r>
          </w:p>
        </w:tc>
      </w:tr>
    </w:tbl>
    <w:p>
      <w:r>
        <w:t>The first state refers to the first named target. The current 22-to-one resolved robot-learning discordance is a property of narrow Q. It is not an independent validation of the operator exclusions that help produce it.</w:t>
      </w:r>
    </w:p>
    <w:p>
      <w:pPr>
        <w:pStyle w:val="Heading1"/>
      </w:pPr>
      <w:r>
        <w:t>S6  Source scope review</w:t>
      </w:r>
    </w:p>
    <w:p>
      <w:r>
        <w:t>A deterministic join links all 496 target rows to the preserved context index with no key failure. In the current robot-learning common-mention states, all 22 Python-P/PyTorch-Z records contain a PyTorch choice-or-example flag. One resolved reverse record remains. An earlier source-review frame contained two reverse records; consistent treatment of bare parenthetical framework lists moved one from PyTorch P to U.</w:t>
      </w:r>
    </w:p>
    <w:p>
      <w:r>
        <w:t>Full-source review of these 24 discordant records classifies the 22 PyTorch contexts as:</w:t>
      </w:r>
    </w:p>
    <w:p>
      <w:pPr>
        <w:pStyle w:val="ListBullet"/>
      </w:pPr>
      <w:r>
        <w:t xml:space="preserve">nine Chinese </w:t>
      </w:r>
      <w:r>
        <w:rPr>
          <w:rFonts w:ascii="Consolas" w:hAnsi="Consolas"/>
          <w:sz w:val="18"/>
        </w:rPr>
        <w:t>等</w:t>
      </w:r>
      <w:r>
        <w:t>-only constructions;</w:t>
      </w:r>
    </w:p>
    <w:p>
      <w:pPr>
        <w:pStyle w:val="ListBullet"/>
      </w:pPr>
      <w:r>
        <w:t>nine explicit “such as” or “e.g.” constructions;</w:t>
      </w:r>
    </w:p>
    <w:p>
      <w:pPr>
        <w:pStyle w:val="ListBullet"/>
      </w:pPr>
      <w:r>
        <w:t>two choice constructions; and</w:t>
      </w:r>
    </w:p>
    <w:p>
      <w:pPr>
        <w:pStyle w:val="ListBullet"/>
      </w:pPr>
      <w:r>
        <w:t>two combined choice/example constructions.</w:t>
      </w:r>
    </w:p>
    <w:p>
      <w:r>
        <w:t>The two records that were reverse cases in the earlier frame have choice flags for Python. This full-source review was checked against the saved source scope but remains model-assisted rather than an independent human recode. It supports the descriptive branch inventory, not the claim that one construct is uniquely correct.</w:t>
      </w:r>
    </w:p>
    <w:p>
      <w:r>
        <w:t>The interpretive issue is substantive. A phrase such as “familiar with mainstream deep-learning frameworks such as PyTorch” does not unconditionally require PyTorch, but it places PyTorch inside an applicant qualification and may indicate that PyTorch experience satisfies a broader framework requirement. Q codes the target-specific unconditional statement; H and Q+E preserve the broader relation.</w:t>
      </w:r>
    </w:p>
    <w:p>
      <w:r>
        <w:t>The broader increment review covers all 44 robot-learning target–advertisement transitions from current-Q nonpositive or unresolved to Q-plus-example positive. Forty-three concern PyTorch and one concerns Python. Forty-two are Z-to-P transitions and two are U-to-P transitions under the expanded relation set. Cue families are:</w:t>
      </w:r>
    </w:p>
    <w:p>
      <w:pPr>
        <w:pStyle w:val="ListBullet"/>
      </w:pPr>
      <w:r>
        <w:t>17 clear non-exhaustive cues: seven “such as,” five “e.g.” and five Chinese “如,” all for PyTorch;</w:t>
      </w:r>
    </w:p>
    <w:p>
      <w:pPr>
        <w:pStyle w:val="ListBullet"/>
      </w:pPr>
      <w:r>
        <w:t>25 Chinese “等”-only open lists: 24 for PyTorch and one for Python; and</w:t>
      </w:r>
    </w:p>
    <w:p>
      <w:pPr>
        <w:pStyle w:val="ListBullet"/>
      </w:pPr>
      <w:r>
        <w:t>two bare parenthetical lists for PyTorch, without “such as,” “e.g.,” “如” or “等.” Their live readings are unconditional or example, so they remain U under Q but are P under Q+E.</w:t>
      </w:r>
    </w:p>
    <w:p>
      <w:r>
        <w:t>These categories support admission-rule alternatives, not accuracy labels. Table S5 shows that the full-sample reversal appears when the “等”-only class is admitted; clear cues alone leave the outer range crossing zero.</w:t>
      </w:r>
    </w:p>
    <w:p>
      <w:pPr>
        <w:pStyle w:val="Caption"/>
      </w:pPr>
      <w:r>
        <w:t>Supplementary Table S5. Example-admission rules for Python−PyTorch</w:t>
      </w:r>
    </w:p>
    <w:tbl>
      <w:tblPr>
        <w:tblW w:type="auto" w:w="0"/>
        <w:tblLayout w:type="fixed"/>
        <w:tblLook w:firstColumn="1" w:firstRow="1" w:lastColumn="0" w:lastRow="0" w:noHBand="0" w:noVBand="1" w:val="04A0"/>
        <w:tblBorders>
          <w:top w:val="single" w:sz="4" w:color="B0B0B0"/>
          <w:bottom w:val="single" w:sz="4" w:color="B0B0B0"/>
          <w:insideH w:val="single" w:sz="4" w:color="B0B0B0"/>
        </w:tblBorders>
      </w:tblPr>
      <w:tblGrid>
        <w:gridCol w:w="2154"/>
        <w:gridCol w:w="1284"/>
        <w:gridCol w:w="1284"/>
        <w:gridCol w:w="1284"/>
        <w:gridCol w:w="1284"/>
        <w:gridCol w:w="1284"/>
        <w:gridCol w:w="1284"/>
      </w:tblGrid>
      <w:tr>
        <w:trPr>
          <w:cantSplit/>
          <w:tblHeader/>
        </w:trPr>
        <w:tc>
          <w:tcPr>
            <w:tcW w:type="dxa" w:w="2154"/>
            <w:vAlign w:val="center"/>
            <w:shd w:fill="F2F2F2"/>
          </w:tcPr>
          <w:p>
            <w:pPr>
              <w:keepNext/>
              <w:spacing w:line="252" w:lineRule="auto" w:before="60" w:after="60"/>
            </w:pPr>
            <w:r>
              <w:rPr>
                <w:b/>
                <w:sz w:val="19"/>
              </w:rPr>
              <w:t>Admission rule</w:t>
            </w:r>
          </w:p>
        </w:tc>
        <w:tc>
          <w:tcPr>
            <w:tcW w:type="dxa" w:w="1284"/>
            <w:vAlign w:val="center"/>
            <w:shd w:fill="F2F2F2"/>
          </w:tcPr>
          <w:p>
            <w:pPr>
              <w:keepNext/>
              <w:spacing w:line="252" w:lineRule="auto" w:before="60" w:after="60"/>
            </w:pPr>
            <w:r>
              <w:rPr>
                <w:b/>
                <w:sz w:val="19"/>
              </w:rPr>
              <w:t>Full sample Python P/U</w:t>
            </w:r>
          </w:p>
        </w:tc>
        <w:tc>
          <w:tcPr>
            <w:tcW w:type="dxa" w:w="1284"/>
            <w:vAlign w:val="center"/>
            <w:shd w:fill="F2F2F2"/>
          </w:tcPr>
          <w:p>
            <w:pPr>
              <w:keepNext/>
              <w:spacing w:line="252" w:lineRule="auto" w:before="60" w:after="60"/>
            </w:pPr>
            <w:r>
              <w:rPr>
                <w:b/>
                <w:sz w:val="19"/>
              </w:rPr>
              <w:t>Full sample PyTorch P/U</w:t>
            </w:r>
          </w:p>
        </w:tc>
        <w:tc>
          <w:tcPr>
            <w:tcW w:type="dxa" w:w="1284"/>
            <w:vAlign w:val="center"/>
            <w:shd w:fill="F2F2F2"/>
          </w:tcPr>
          <w:p>
            <w:pPr>
              <w:keepNext/>
              <w:spacing w:line="252" w:lineRule="auto" w:before="60" w:after="60"/>
            </w:pPr>
            <w:r>
              <w:rPr>
                <w:b/>
                <w:sz w:val="19"/>
              </w:rPr>
              <w:t>Full range pp</w:t>
            </w:r>
          </w:p>
        </w:tc>
        <w:tc>
          <w:tcPr>
            <w:tcW w:type="dxa" w:w="1284"/>
            <w:vAlign w:val="center"/>
            <w:shd w:fill="F2F2F2"/>
          </w:tcPr>
          <w:p>
            <w:pPr>
              <w:keepNext/>
              <w:spacing w:line="252" w:lineRule="auto" w:before="60" w:after="60"/>
            </w:pPr>
            <w:r>
              <w:rPr>
                <w:b/>
                <w:sz w:val="19"/>
              </w:rPr>
              <w:t>Both-mentioned Python P/U</w:t>
            </w:r>
          </w:p>
        </w:tc>
        <w:tc>
          <w:tcPr>
            <w:tcW w:type="dxa" w:w="1284"/>
            <w:vAlign w:val="center"/>
            <w:shd w:fill="F2F2F2"/>
          </w:tcPr>
          <w:p>
            <w:pPr>
              <w:keepNext/>
              <w:spacing w:line="252" w:lineRule="auto" w:before="60" w:after="60"/>
            </w:pPr>
            <w:r>
              <w:rPr>
                <w:b/>
                <w:sz w:val="19"/>
              </w:rPr>
              <w:t>Both-mentioned PyTorch P/U</w:t>
            </w:r>
          </w:p>
        </w:tc>
        <w:tc>
          <w:tcPr>
            <w:tcW w:type="dxa" w:w="1284"/>
            <w:vAlign w:val="center"/>
            <w:shd w:fill="F2F2F2"/>
          </w:tcPr>
          <w:p>
            <w:pPr>
              <w:keepNext/>
              <w:spacing w:line="252" w:lineRule="auto" w:before="60" w:after="60"/>
            </w:pPr>
            <w:r>
              <w:rPr>
                <w:b/>
                <w:sz w:val="19"/>
              </w:rPr>
              <w:t>Both-mentioned range pp</w:t>
            </w:r>
          </w:p>
        </w:tc>
      </w:tr>
      <w:tr>
        <w:trPr>
          <w:cantSplit/>
        </w:trPr>
        <w:tc>
          <w:tcPr>
            <w:tcW w:type="dxa" w:w="2154"/>
            <w:vAlign w:val="center"/>
          </w:tcPr>
          <w:p>
            <w:pPr>
              <w:keepNext w:val="0"/>
              <w:spacing w:line="252" w:lineRule="auto" w:before="60" w:after="60"/>
            </w:pPr>
            <w:r>
              <w:rPr>
                <w:b w:val="0"/>
                <w:sz w:val="19"/>
              </w:rPr>
              <w:t>Narrow Q</w:t>
            </w:r>
          </w:p>
        </w:tc>
        <w:tc>
          <w:tcPr>
            <w:tcW w:type="dxa" w:w="1284"/>
            <w:vAlign w:val="center"/>
          </w:tcPr>
          <w:p>
            <w:pPr>
              <w:keepNext w:val="0"/>
              <w:spacing w:line="252" w:lineRule="auto" w:before="60" w:after="60"/>
            </w:pPr>
            <w:r>
              <w:rPr>
                <w:b w:val="0"/>
                <w:sz w:val="19"/>
              </w:rPr>
              <w:t>42 / 17</w:t>
            </w:r>
          </w:p>
        </w:tc>
        <w:tc>
          <w:tcPr>
            <w:tcW w:type="dxa" w:w="1284"/>
            <w:vAlign w:val="center"/>
          </w:tcPr>
          <w:p>
            <w:pPr>
              <w:keepNext w:val="0"/>
              <w:spacing w:line="252" w:lineRule="auto" w:before="60" w:after="60"/>
            </w:pPr>
            <w:r>
              <w:rPr>
                <w:b w:val="0"/>
                <w:sz w:val="19"/>
              </w:rPr>
              <w:t>22 / 6</w:t>
            </w:r>
          </w:p>
        </w:tc>
        <w:tc>
          <w:tcPr>
            <w:tcW w:type="dxa" w:w="1284"/>
            <w:vAlign w:val="center"/>
          </w:tcPr>
          <w:p>
            <w:pPr>
              <w:keepNext w:val="0"/>
              <w:spacing w:line="252" w:lineRule="auto" w:before="60" w:after="60"/>
            </w:pPr>
            <w:r>
              <w:rPr>
                <w:b w:val="0"/>
                <w:sz w:val="19"/>
              </w:rPr>
              <w:t>+13.33 to +35.24</w:t>
            </w:r>
          </w:p>
        </w:tc>
        <w:tc>
          <w:tcPr>
            <w:tcW w:type="dxa" w:w="1284"/>
            <w:vAlign w:val="center"/>
          </w:tcPr>
          <w:p>
            <w:pPr>
              <w:keepNext w:val="0"/>
              <w:spacing w:line="252" w:lineRule="auto" w:before="60" w:after="60"/>
            </w:pPr>
            <w:r>
              <w:rPr>
                <w:b w:val="0"/>
                <w:sz w:val="19"/>
              </w:rPr>
              <w:t>37 / 15</w:t>
            </w:r>
          </w:p>
        </w:tc>
        <w:tc>
          <w:tcPr>
            <w:tcW w:type="dxa" w:w="1284"/>
            <w:vAlign w:val="center"/>
          </w:tcPr>
          <w:p>
            <w:pPr>
              <w:keepNext w:val="0"/>
              <w:spacing w:line="252" w:lineRule="auto" w:before="60" w:after="60"/>
            </w:pPr>
            <w:r>
              <w:rPr>
                <w:b w:val="0"/>
                <w:sz w:val="19"/>
              </w:rPr>
              <w:t>18 / 5</w:t>
            </w:r>
          </w:p>
        </w:tc>
        <w:tc>
          <w:tcPr>
            <w:tcW w:type="dxa" w:w="1284"/>
            <w:vAlign w:val="center"/>
          </w:tcPr>
          <w:p>
            <w:pPr>
              <w:keepNext w:val="0"/>
              <w:spacing w:line="252" w:lineRule="auto" w:before="60" w:after="60"/>
            </w:pPr>
            <w:r>
              <w:rPr>
                <w:b w:val="0"/>
                <w:sz w:val="19"/>
              </w:rPr>
              <w:t>+21.21 to +51.52</w:t>
            </w:r>
          </w:p>
        </w:tc>
      </w:tr>
      <w:tr>
        <w:trPr>
          <w:cantSplit/>
        </w:trPr>
        <w:tc>
          <w:tcPr>
            <w:tcW w:type="dxa" w:w="2154"/>
            <w:vAlign w:val="center"/>
          </w:tcPr>
          <w:p>
            <w:pPr>
              <w:keepNext w:val="0"/>
              <w:spacing w:line="252" w:lineRule="auto" w:before="60" w:after="60"/>
            </w:pPr>
            <w:r>
              <w:rPr>
                <w:b w:val="0"/>
                <w:sz w:val="19"/>
              </w:rPr>
              <w:t>Q plus 17 clear-cue cases</w:t>
            </w:r>
          </w:p>
        </w:tc>
        <w:tc>
          <w:tcPr>
            <w:tcW w:type="dxa" w:w="1284"/>
            <w:vAlign w:val="center"/>
          </w:tcPr>
          <w:p>
            <w:pPr>
              <w:keepNext w:val="0"/>
              <w:spacing w:line="252" w:lineRule="auto" w:before="60" w:after="60"/>
            </w:pPr>
            <w:r>
              <w:rPr>
                <w:b w:val="0"/>
                <w:sz w:val="19"/>
              </w:rPr>
              <w:t>42 / 17</w:t>
            </w:r>
          </w:p>
        </w:tc>
        <w:tc>
          <w:tcPr>
            <w:tcW w:type="dxa" w:w="1284"/>
            <w:vAlign w:val="center"/>
          </w:tcPr>
          <w:p>
            <w:pPr>
              <w:keepNext w:val="0"/>
              <w:spacing w:line="252" w:lineRule="auto" w:before="60" w:after="60"/>
            </w:pPr>
            <w:r>
              <w:rPr>
                <w:b w:val="0"/>
                <w:sz w:val="19"/>
              </w:rPr>
              <w:t>39 / 6</w:t>
            </w:r>
          </w:p>
        </w:tc>
        <w:tc>
          <w:tcPr>
            <w:tcW w:type="dxa" w:w="1284"/>
            <w:vAlign w:val="center"/>
          </w:tcPr>
          <w:p>
            <w:pPr>
              <w:keepNext w:val="0"/>
              <w:spacing w:line="252" w:lineRule="auto" w:before="60" w:after="60"/>
            </w:pPr>
            <w:r>
              <w:rPr>
                <w:b w:val="0"/>
                <w:sz w:val="19"/>
              </w:rPr>
              <w:t>−2.86 to +19.05</w:t>
            </w:r>
          </w:p>
        </w:tc>
        <w:tc>
          <w:tcPr>
            <w:tcW w:type="dxa" w:w="1284"/>
            <w:vAlign w:val="center"/>
          </w:tcPr>
          <w:p>
            <w:pPr>
              <w:keepNext w:val="0"/>
              <w:spacing w:line="252" w:lineRule="auto" w:before="60" w:after="60"/>
            </w:pPr>
            <w:r>
              <w:rPr>
                <w:b w:val="0"/>
                <w:sz w:val="19"/>
              </w:rPr>
              <w:t>37 / 15</w:t>
            </w:r>
          </w:p>
        </w:tc>
        <w:tc>
          <w:tcPr>
            <w:tcW w:type="dxa" w:w="1284"/>
            <w:vAlign w:val="center"/>
          </w:tcPr>
          <w:p>
            <w:pPr>
              <w:keepNext w:val="0"/>
              <w:spacing w:line="252" w:lineRule="auto" w:before="60" w:after="60"/>
            </w:pPr>
            <w:r>
              <w:rPr>
                <w:b w:val="0"/>
                <w:sz w:val="19"/>
              </w:rPr>
              <w:t>30 / 5</w:t>
            </w:r>
          </w:p>
        </w:tc>
        <w:tc>
          <w:tcPr>
            <w:tcW w:type="dxa" w:w="1284"/>
            <w:vAlign w:val="center"/>
          </w:tcPr>
          <w:p>
            <w:pPr>
              <w:keepNext w:val="0"/>
              <w:spacing w:line="252" w:lineRule="auto" w:before="60" w:after="60"/>
            </w:pPr>
            <w:r>
              <w:rPr>
                <w:b w:val="0"/>
                <w:sz w:val="19"/>
              </w:rPr>
              <w:t>+3.03 to +33.33</w:t>
            </w:r>
          </w:p>
        </w:tc>
      </w:tr>
      <w:tr>
        <w:trPr>
          <w:cantSplit/>
        </w:trPr>
        <w:tc>
          <w:tcPr>
            <w:tcW w:type="dxa" w:w="2154"/>
            <w:vAlign w:val="center"/>
          </w:tcPr>
          <w:p>
            <w:pPr>
              <w:keepNext w:val="0"/>
              <w:spacing w:line="252" w:lineRule="auto" w:before="60" w:after="60"/>
            </w:pPr>
            <w:r>
              <w:rPr>
                <w:b w:val="0"/>
                <w:sz w:val="19"/>
              </w:rPr>
              <w:t>Q plus recorded examples except bare parentheses</w:t>
            </w:r>
          </w:p>
        </w:tc>
        <w:tc>
          <w:tcPr>
            <w:tcW w:type="dxa" w:w="1284"/>
            <w:vAlign w:val="center"/>
          </w:tcPr>
          <w:p>
            <w:pPr>
              <w:keepNext w:val="0"/>
              <w:spacing w:line="252" w:lineRule="auto" w:before="60" w:after="60"/>
            </w:pPr>
            <w:r>
              <w:rPr>
                <w:b w:val="0"/>
                <w:sz w:val="19"/>
              </w:rPr>
              <w:t>43 / 17</w:t>
            </w:r>
          </w:p>
        </w:tc>
        <w:tc>
          <w:tcPr>
            <w:tcW w:type="dxa" w:w="1284"/>
            <w:vAlign w:val="center"/>
          </w:tcPr>
          <w:p>
            <w:pPr>
              <w:keepNext w:val="0"/>
              <w:spacing w:line="252" w:lineRule="auto" w:before="60" w:after="60"/>
            </w:pPr>
            <w:r>
              <w:rPr>
                <w:b w:val="0"/>
                <w:sz w:val="19"/>
              </w:rPr>
              <w:t>63 / 6</w:t>
            </w:r>
          </w:p>
        </w:tc>
        <w:tc>
          <w:tcPr>
            <w:tcW w:type="dxa" w:w="1284"/>
            <w:vAlign w:val="center"/>
          </w:tcPr>
          <w:p>
            <w:pPr>
              <w:keepNext w:val="0"/>
              <w:spacing w:line="252" w:lineRule="auto" w:before="60" w:after="60"/>
            </w:pPr>
            <w:r>
              <w:rPr>
                <w:b w:val="0"/>
                <w:sz w:val="19"/>
              </w:rPr>
              <w:t>−24.76 to −2.86</w:t>
            </w:r>
          </w:p>
        </w:tc>
        <w:tc>
          <w:tcPr>
            <w:tcW w:type="dxa" w:w="1284"/>
            <w:vAlign w:val="center"/>
          </w:tcPr>
          <w:p>
            <w:pPr>
              <w:keepNext w:val="0"/>
              <w:spacing w:line="252" w:lineRule="auto" w:before="60" w:after="60"/>
            </w:pPr>
            <w:r>
              <w:rPr>
                <w:b w:val="0"/>
                <w:sz w:val="19"/>
              </w:rPr>
              <w:t>38 / 15</w:t>
            </w:r>
          </w:p>
        </w:tc>
        <w:tc>
          <w:tcPr>
            <w:tcW w:type="dxa" w:w="1284"/>
            <w:vAlign w:val="center"/>
          </w:tcPr>
          <w:p>
            <w:pPr>
              <w:keepNext w:val="0"/>
              <w:spacing w:line="252" w:lineRule="auto" w:before="60" w:after="60"/>
            </w:pPr>
            <w:r>
              <w:rPr>
                <w:b w:val="0"/>
                <w:sz w:val="19"/>
              </w:rPr>
              <w:t>49 / 5</w:t>
            </w:r>
          </w:p>
        </w:tc>
        <w:tc>
          <w:tcPr>
            <w:tcW w:type="dxa" w:w="1284"/>
            <w:vAlign w:val="center"/>
          </w:tcPr>
          <w:p>
            <w:pPr>
              <w:keepNext w:val="0"/>
              <w:spacing w:line="252" w:lineRule="auto" w:before="60" w:after="60"/>
            </w:pPr>
            <w:r>
              <w:rPr>
                <w:b w:val="0"/>
                <w:sz w:val="19"/>
              </w:rPr>
              <w:t>−24.24 to +6.06</w:t>
            </w:r>
          </w:p>
        </w:tc>
      </w:tr>
      <w:tr>
        <w:trPr>
          <w:cantSplit/>
        </w:trPr>
        <w:tc>
          <w:tcPr>
            <w:tcW w:type="dxa" w:w="2154"/>
            <w:vAlign w:val="center"/>
          </w:tcPr>
          <w:p>
            <w:pPr>
              <w:keepNext w:val="0"/>
              <w:spacing w:line="252" w:lineRule="auto" w:before="60" w:after="60"/>
            </w:pPr>
            <w:r>
              <w:rPr>
                <w:b w:val="0"/>
                <w:sz w:val="19"/>
              </w:rPr>
              <w:t>Q plus all recorded examples</w:t>
            </w:r>
          </w:p>
        </w:tc>
        <w:tc>
          <w:tcPr>
            <w:tcW w:type="dxa" w:w="1284"/>
            <w:vAlign w:val="center"/>
          </w:tcPr>
          <w:p>
            <w:pPr>
              <w:keepNext w:val="0"/>
              <w:spacing w:line="252" w:lineRule="auto" w:before="60" w:after="60"/>
            </w:pPr>
            <w:r>
              <w:rPr>
                <w:b w:val="0"/>
                <w:sz w:val="19"/>
              </w:rPr>
              <w:t>43 / 17</w:t>
            </w:r>
          </w:p>
        </w:tc>
        <w:tc>
          <w:tcPr>
            <w:tcW w:type="dxa" w:w="1284"/>
            <w:vAlign w:val="center"/>
          </w:tcPr>
          <w:p>
            <w:pPr>
              <w:keepNext w:val="0"/>
              <w:spacing w:line="252" w:lineRule="auto" w:before="60" w:after="60"/>
            </w:pPr>
            <w:r>
              <w:rPr>
                <w:b w:val="0"/>
                <w:sz w:val="19"/>
              </w:rPr>
              <w:t>65 / 4</w:t>
            </w:r>
          </w:p>
        </w:tc>
        <w:tc>
          <w:tcPr>
            <w:tcW w:type="dxa" w:w="1284"/>
            <w:vAlign w:val="center"/>
          </w:tcPr>
          <w:p>
            <w:pPr>
              <w:keepNext w:val="0"/>
              <w:spacing w:line="252" w:lineRule="auto" w:before="60" w:after="60"/>
            </w:pPr>
            <w:r>
              <w:rPr>
                <w:b w:val="0"/>
                <w:sz w:val="19"/>
              </w:rPr>
              <w:t>−24.76 to −4.76</w:t>
            </w:r>
          </w:p>
        </w:tc>
        <w:tc>
          <w:tcPr>
            <w:tcW w:type="dxa" w:w="1284"/>
            <w:vAlign w:val="center"/>
          </w:tcPr>
          <w:p>
            <w:pPr>
              <w:keepNext w:val="0"/>
              <w:spacing w:line="252" w:lineRule="auto" w:before="60" w:after="60"/>
            </w:pPr>
            <w:r>
              <w:rPr>
                <w:b w:val="0"/>
                <w:sz w:val="19"/>
              </w:rPr>
              <w:t>38 / 15</w:t>
            </w:r>
          </w:p>
        </w:tc>
        <w:tc>
          <w:tcPr>
            <w:tcW w:type="dxa" w:w="1284"/>
            <w:vAlign w:val="center"/>
          </w:tcPr>
          <w:p>
            <w:pPr>
              <w:keepNext w:val="0"/>
              <w:spacing w:line="252" w:lineRule="auto" w:before="60" w:after="60"/>
            </w:pPr>
            <w:r>
              <w:rPr>
                <w:b w:val="0"/>
                <w:sz w:val="19"/>
              </w:rPr>
              <w:t>51 / 3</w:t>
            </w:r>
          </w:p>
        </w:tc>
        <w:tc>
          <w:tcPr>
            <w:tcW w:type="dxa" w:w="1284"/>
            <w:vAlign w:val="center"/>
          </w:tcPr>
          <w:p>
            <w:pPr>
              <w:keepNext w:val="0"/>
              <w:spacing w:line="252" w:lineRule="auto" w:before="60" w:after="60"/>
            </w:pPr>
            <w:r>
              <w:rPr>
                <w:b w:val="0"/>
                <w:sz w:val="19"/>
              </w:rPr>
              <w:t>−24.24 to +3.03</w:t>
            </w:r>
          </w:p>
        </w:tc>
      </w:tr>
    </w:tbl>
    <w:p>
      <w:pPr>
        <w:spacing w:line="252" w:lineRule="auto"/>
      </w:pPr>
      <w:r>
        <w:rPr>
          <w:sz w:val="18"/>
        </w:rPr>
        <w:t>Notes: “Clear cue” means “such as,” “e.g.” or Chinese “如.” “等”-only open lists enter the last two expanded rules. U is recomputed for each admission rule; ambiguity entirely within its admitted relation set becomes P.</w:t>
      </w:r>
    </w:p>
    <w:p>
      <w:pPr>
        <w:pStyle w:val="Heading1"/>
      </w:pPr>
      <w:r>
        <w:t>S7  Exploratory PyTorch TensorFlow framework control</w:t>
      </w:r>
    </w:p>
    <w:p>
      <w:r>
        <w:t>The after-discovery extension retains the same 105 robot-learning advertisements and adds literal TensorFlow as a target. All 79 presumed nonmatches were checked across captured fields. Twenty-six advertisements name TensorFlow, and all 26 also name PyTorch. Full-source review found both framework names under the same predicate in every matched advertisement and no separate target-specific qualification occurrence. Four occurrences are PREFERRED-only and therefore enter M but not H.</w:t>
      </w:r>
    </w:p>
    <w:p>
      <w:pPr>
        <w:pStyle w:val="Caption"/>
      </w:pPr>
      <w:r>
        <w:t>Supplementary Table S6. PyTorch−TensorFlow contrasts among 26 joint mentions</w:t>
      </w:r>
    </w:p>
    <w:tbl>
      <w:tblPr>
        <w:tblW w:type="auto" w:w="0"/>
        <w:tblLayout w:type="fixed"/>
        <w:tblLook w:firstColumn="1" w:firstRow="1" w:lastColumn="0" w:lastRow="0" w:noHBand="0" w:noVBand="1" w:val="04A0"/>
        <w:tblBorders>
          <w:top w:val="single" w:sz="4" w:color="B0B0B0"/>
          <w:bottom w:val="single" w:sz="4" w:color="B0B0B0"/>
          <w:insideH w:val="single" w:sz="4" w:color="B0B0B0"/>
        </w:tblBorders>
      </w:tblPr>
      <w:tblGrid>
        <w:gridCol w:w="2154"/>
        <w:gridCol w:w="1926"/>
        <w:gridCol w:w="1926"/>
        <w:gridCol w:w="1926"/>
        <w:gridCol w:w="1926"/>
      </w:tblGrid>
      <w:tr>
        <w:trPr>
          <w:cantSplit/>
          <w:tblHeader/>
        </w:trPr>
        <w:tc>
          <w:tcPr>
            <w:tcW w:type="dxa" w:w="2154"/>
            <w:vAlign w:val="center"/>
            <w:shd w:fill="F2F2F2"/>
          </w:tcPr>
          <w:p>
            <w:pPr>
              <w:keepNext/>
              <w:spacing w:line="252" w:lineRule="auto" w:before="60" w:after="60"/>
            </w:pPr>
            <w:r>
              <w:rPr>
                <w:b/>
                <w:sz w:val="19"/>
              </w:rPr>
              <w:t>Construct</w:t>
            </w:r>
          </w:p>
        </w:tc>
        <w:tc>
          <w:tcPr>
            <w:tcW w:type="dxa" w:w="1926"/>
            <w:vAlign w:val="center"/>
            <w:shd w:fill="F2F2F2"/>
          </w:tcPr>
          <w:p>
            <w:pPr>
              <w:keepNext/>
              <w:spacing w:line="252" w:lineRule="auto" w:before="60" w:after="60"/>
            </w:pPr>
            <w:r>
              <w:rPr>
                <w:b/>
                <w:sz w:val="19"/>
              </w:rPr>
              <w:t>PyTorch P/U</w:t>
            </w:r>
          </w:p>
        </w:tc>
        <w:tc>
          <w:tcPr>
            <w:tcW w:type="dxa" w:w="1926"/>
            <w:vAlign w:val="center"/>
            <w:shd w:fill="F2F2F2"/>
          </w:tcPr>
          <w:p>
            <w:pPr>
              <w:keepNext/>
              <w:spacing w:line="252" w:lineRule="auto" w:before="60" w:after="60"/>
            </w:pPr>
            <w:r>
              <w:rPr>
                <w:b/>
                <w:sz w:val="19"/>
              </w:rPr>
              <w:t>TensorFlow P/U</w:t>
            </w:r>
          </w:p>
        </w:tc>
        <w:tc>
          <w:tcPr>
            <w:tcW w:type="dxa" w:w="1926"/>
            <w:vAlign w:val="center"/>
            <w:shd w:fill="F2F2F2"/>
          </w:tcPr>
          <w:p>
            <w:pPr>
              <w:keepNext/>
              <w:spacing w:line="252" w:lineRule="auto" w:before="60" w:after="60"/>
            </w:pPr>
            <w:r>
              <w:rPr>
                <w:b/>
                <w:sz w:val="19"/>
              </w:rPr>
              <w:t>Confirmed gap pp</w:t>
            </w:r>
          </w:p>
        </w:tc>
        <w:tc>
          <w:tcPr>
            <w:tcW w:type="dxa" w:w="1926"/>
            <w:vAlign w:val="center"/>
            <w:shd w:fill="F2F2F2"/>
          </w:tcPr>
          <w:p>
            <w:pPr>
              <w:keepNext/>
              <w:spacing w:line="252" w:lineRule="auto" w:before="60" w:after="60"/>
            </w:pPr>
            <w:r>
              <w:rPr>
                <w:b/>
                <w:sz w:val="19"/>
              </w:rPr>
              <w:t>Outer range pp</w:t>
            </w:r>
          </w:p>
        </w:tc>
      </w:tr>
      <w:tr>
        <w:trPr>
          <w:cantSplit/>
        </w:trPr>
        <w:tc>
          <w:tcPr>
            <w:tcW w:type="dxa" w:w="2154"/>
            <w:vAlign w:val="center"/>
          </w:tcPr>
          <w:p>
            <w:pPr>
              <w:keepNext w:val="0"/>
              <w:spacing w:line="252" w:lineRule="auto" w:before="60" w:after="60"/>
            </w:pPr>
            <w:r>
              <w:rPr>
                <w:b w:val="0"/>
                <w:sz w:val="19"/>
              </w:rPr>
              <w:t>M</w:t>
            </w:r>
          </w:p>
        </w:tc>
        <w:tc>
          <w:tcPr>
            <w:tcW w:type="dxa" w:w="1926"/>
            <w:vAlign w:val="center"/>
          </w:tcPr>
          <w:p>
            <w:pPr>
              <w:keepNext w:val="0"/>
              <w:spacing w:line="252" w:lineRule="auto" w:before="60" w:after="60"/>
            </w:pPr>
            <w:r>
              <w:rPr>
                <w:b w:val="0"/>
                <w:sz w:val="19"/>
              </w:rPr>
              <w:t>26 / 0</w:t>
            </w:r>
          </w:p>
        </w:tc>
        <w:tc>
          <w:tcPr>
            <w:tcW w:type="dxa" w:w="1926"/>
            <w:vAlign w:val="center"/>
          </w:tcPr>
          <w:p>
            <w:pPr>
              <w:keepNext w:val="0"/>
              <w:spacing w:line="252" w:lineRule="auto" w:before="60" w:after="60"/>
            </w:pPr>
            <w:r>
              <w:rPr>
                <w:b w:val="0"/>
                <w:sz w:val="19"/>
              </w:rPr>
              <w:t>26 / 0</w:t>
            </w:r>
          </w:p>
        </w:tc>
        <w:tc>
          <w:tcPr>
            <w:tcW w:type="dxa" w:w="1926"/>
            <w:vAlign w:val="center"/>
          </w:tcPr>
          <w:p>
            <w:pPr>
              <w:keepNext w:val="0"/>
              <w:spacing w:line="252" w:lineRule="auto" w:before="60" w:after="60"/>
            </w:pPr>
            <w:r>
              <w:rPr>
                <w:b w:val="0"/>
                <w:sz w:val="19"/>
              </w:rPr>
              <w:t>0.0</w:t>
            </w:r>
          </w:p>
        </w:tc>
        <w:tc>
          <w:tcPr>
            <w:tcW w:type="dxa" w:w="1926"/>
            <w:vAlign w:val="center"/>
          </w:tcPr>
          <w:p>
            <w:pPr>
              <w:keepNext w:val="0"/>
              <w:spacing w:line="252" w:lineRule="auto" w:before="60" w:after="60"/>
            </w:pPr>
            <w:r>
              <w:rPr>
                <w:b w:val="0"/>
                <w:sz w:val="19"/>
              </w:rPr>
              <w:t>0.0 to 0.0</w:t>
            </w:r>
          </w:p>
        </w:tc>
      </w:tr>
      <w:tr>
        <w:trPr>
          <w:cantSplit/>
        </w:trPr>
        <w:tc>
          <w:tcPr>
            <w:tcW w:type="dxa" w:w="2154"/>
            <w:vAlign w:val="center"/>
          </w:tcPr>
          <w:p>
            <w:pPr>
              <w:keepNext w:val="0"/>
              <w:spacing w:line="252" w:lineRule="auto" w:before="60" w:after="60"/>
            </w:pPr>
            <w:r>
              <w:rPr>
                <w:b w:val="0"/>
                <w:sz w:val="19"/>
              </w:rPr>
              <w:t>H</w:t>
            </w:r>
          </w:p>
        </w:tc>
        <w:tc>
          <w:tcPr>
            <w:tcW w:type="dxa" w:w="1926"/>
            <w:vAlign w:val="center"/>
          </w:tcPr>
          <w:p>
            <w:pPr>
              <w:keepNext w:val="0"/>
              <w:spacing w:line="252" w:lineRule="auto" w:before="60" w:after="60"/>
            </w:pPr>
            <w:r>
              <w:rPr>
                <w:b w:val="0"/>
                <w:sz w:val="19"/>
              </w:rPr>
              <w:t>22 / 0</w:t>
            </w:r>
          </w:p>
        </w:tc>
        <w:tc>
          <w:tcPr>
            <w:tcW w:type="dxa" w:w="1926"/>
            <w:vAlign w:val="center"/>
          </w:tcPr>
          <w:p>
            <w:pPr>
              <w:keepNext w:val="0"/>
              <w:spacing w:line="252" w:lineRule="auto" w:before="60" w:after="60"/>
            </w:pPr>
            <w:r>
              <w:rPr>
                <w:b w:val="0"/>
                <w:sz w:val="19"/>
              </w:rPr>
              <w:t>22 / 0</w:t>
            </w:r>
          </w:p>
        </w:tc>
        <w:tc>
          <w:tcPr>
            <w:tcW w:type="dxa" w:w="1926"/>
            <w:vAlign w:val="center"/>
          </w:tcPr>
          <w:p>
            <w:pPr>
              <w:keepNext w:val="0"/>
              <w:spacing w:line="252" w:lineRule="auto" w:before="60" w:after="60"/>
            </w:pPr>
            <w:r>
              <w:rPr>
                <w:b w:val="0"/>
                <w:sz w:val="19"/>
              </w:rPr>
              <w:t>0.0</w:t>
            </w:r>
          </w:p>
        </w:tc>
        <w:tc>
          <w:tcPr>
            <w:tcW w:type="dxa" w:w="1926"/>
            <w:vAlign w:val="center"/>
          </w:tcPr>
          <w:p>
            <w:pPr>
              <w:keepNext w:val="0"/>
              <w:spacing w:line="252" w:lineRule="auto" w:before="60" w:after="60"/>
            </w:pPr>
            <w:r>
              <w:rPr>
                <w:b w:val="0"/>
                <w:sz w:val="19"/>
              </w:rPr>
              <w:t>0.0 to 0.0</w:t>
            </w:r>
          </w:p>
        </w:tc>
      </w:tr>
      <w:tr>
        <w:trPr>
          <w:cantSplit/>
        </w:trPr>
        <w:tc>
          <w:tcPr>
            <w:tcW w:type="dxa" w:w="2154"/>
            <w:vAlign w:val="center"/>
          </w:tcPr>
          <w:p>
            <w:pPr>
              <w:keepNext w:val="0"/>
              <w:spacing w:line="252" w:lineRule="auto" w:before="60" w:after="60"/>
            </w:pPr>
            <w:r>
              <w:rPr>
                <w:b w:val="0"/>
                <w:sz w:val="19"/>
              </w:rPr>
              <w:t>Q</w:t>
            </w:r>
          </w:p>
        </w:tc>
        <w:tc>
          <w:tcPr>
            <w:tcW w:type="dxa" w:w="1926"/>
            <w:vAlign w:val="center"/>
          </w:tcPr>
          <w:p>
            <w:pPr>
              <w:keepNext w:val="0"/>
              <w:spacing w:line="252" w:lineRule="auto" w:before="60" w:after="60"/>
            </w:pPr>
            <w:r>
              <w:rPr>
                <w:b w:val="0"/>
                <w:sz w:val="19"/>
              </w:rPr>
              <w:t>0 / 2</w:t>
            </w:r>
          </w:p>
        </w:tc>
        <w:tc>
          <w:tcPr>
            <w:tcW w:type="dxa" w:w="1926"/>
            <w:vAlign w:val="center"/>
          </w:tcPr>
          <w:p>
            <w:pPr>
              <w:keepNext w:val="0"/>
              <w:spacing w:line="252" w:lineRule="auto" w:before="60" w:after="60"/>
            </w:pPr>
            <w:r>
              <w:rPr>
                <w:b w:val="0"/>
                <w:sz w:val="19"/>
              </w:rPr>
              <w:t>0 / 2</w:t>
            </w:r>
          </w:p>
        </w:tc>
        <w:tc>
          <w:tcPr>
            <w:tcW w:type="dxa" w:w="1926"/>
            <w:vAlign w:val="center"/>
          </w:tcPr>
          <w:p>
            <w:pPr>
              <w:keepNext w:val="0"/>
              <w:spacing w:line="252" w:lineRule="auto" w:before="60" w:after="60"/>
            </w:pPr>
            <w:r>
              <w:rPr>
                <w:b w:val="0"/>
                <w:sz w:val="19"/>
              </w:rPr>
              <w:t>0.0</w:t>
            </w:r>
          </w:p>
        </w:tc>
        <w:tc>
          <w:tcPr>
            <w:tcW w:type="dxa" w:w="1926"/>
            <w:vAlign w:val="center"/>
          </w:tcPr>
          <w:p>
            <w:pPr>
              <w:keepNext w:val="0"/>
              <w:spacing w:line="252" w:lineRule="auto" w:before="60" w:after="60"/>
            </w:pPr>
            <w:r>
              <w:rPr>
                <w:b w:val="0"/>
                <w:sz w:val="19"/>
              </w:rPr>
              <w:t>−7.69 to +7.69</w:t>
            </w:r>
          </w:p>
        </w:tc>
      </w:tr>
      <w:tr>
        <w:trPr>
          <w:cantSplit/>
        </w:trPr>
        <w:tc>
          <w:tcPr>
            <w:tcW w:type="dxa" w:w="2154"/>
            <w:vAlign w:val="center"/>
          </w:tcPr>
          <w:p>
            <w:pPr>
              <w:keepNext w:val="0"/>
              <w:spacing w:line="252" w:lineRule="auto" w:before="60" w:after="60"/>
            </w:pPr>
            <w:r>
              <w:rPr>
                <w:b w:val="0"/>
                <w:sz w:val="19"/>
              </w:rPr>
              <w:t>Q plus examples</w:t>
            </w:r>
          </w:p>
        </w:tc>
        <w:tc>
          <w:tcPr>
            <w:tcW w:type="dxa" w:w="1926"/>
            <w:vAlign w:val="center"/>
          </w:tcPr>
          <w:p>
            <w:pPr>
              <w:keepNext w:val="0"/>
              <w:spacing w:line="252" w:lineRule="auto" w:before="60" w:after="60"/>
            </w:pPr>
            <w:r>
              <w:rPr>
                <w:b w:val="0"/>
                <w:sz w:val="19"/>
              </w:rPr>
              <w:t>17 / 1</w:t>
            </w:r>
          </w:p>
        </w:tc>
        <w:tc>
          <w:tcPr>
            <w:tcW w:type="dxa" w:w="1926"/>
            <w:vAlign w:val="center"/>
          </w:tcPr>
          <w:p>
            <w:pPr>
              <w:keepNext w:val="0"/>
              <w:spacing w:line="252" w:lineRule="auto" w:before="60" w:after="60"/>
            </w:pPr>
            <w:r>
              <w:rPr>
                <w:b w:val="0"/>
                <w:sz w:val="19"/>
              </w:rPr>
              <w:t>17 / 1</w:t>
            </w:r>
          </w:p>
        </w:tc>
        <w:tc>
          <w:tcPr>
            <w:tcW w:type="dxa" w:w="1926"/>
            <w:vAlign w:val="center"/>
          </w:tcPr>
          <w:p>
            <w:pPr>
              <w:keepNext w:val="0"/>
              <w:spacing w:line="252" w:lineRule="auto" w:before="60" w:after="60"/>
            </w:pPr>
            <w:r>
              <w:rPr>
                <w:b w:val="0"/>
                <w:sz w:val="19"/>
              </w:rPr>
              <w:t>0.0</w:t>
            </w:r>
          </w:p>
        </w:tc>
        <w:tc>
          <w:tcPr>
            <w:tcW w:type="dxa" w:w="1926"/>
            <w:vAlign w:val="center"/>
          </w:tcPr>
          <w:p>
            <w:pPr>
              <w:keepNext w:val="0"/>
              <w:spacing w:line="252" w:lineRule="auto" w:before="60" w:after="60"/>
            </w:pPr>
            <w:r>
              <w:rPr>
                <w:b w:val="0"/>
                <w:sz w:val="19"/>
              </w:rPr>
              <w:t>−3.85 to +3.85</w:t>
            </w:r>
          </w:p>
        </w:tc>
      </w:tr>
      <w:tr>
        <w:trPr>
          <w:cantSplit/>
        </w:trPr>
        <w:tc>
          <w:tcPr>
            <w:tcW w:type="dxa" w:w="2154"/>
            <w:vAlign w:val="center"/>
          </w:tcPr>
          <w:p>
            <w:pPr>
              <w:keepNext w:val="0"/>
              <w:spacing w:line="252" w:lineRule="auto" w:before="60" w:after="60"/>
            </w:pPr>
            <w:r>
              <w:rPr>
                <w:b w:val="0"/>
                <w:sz w:val="19"/>
              </w:rPr>
              <w:t>Q plus choices/examples</w:t>
            </w:r>
          </w:p>
        </w:tc>
        <w:tc>
          <w:tcPr>
            <w:tcW w:type="dxa" w:w="1926"/>
            <w:vAlign w:val="center"/>
          </w:tcPr>
          <w:p>
            <w:pPr>
              <w:keepNext w:val="0"/>
              <w:spacing w:line="252" w:lineRule="auto" w:before="60" w:after="60"/>
            </w:pPr>
            <w:r>
              <w:rPr>
                <w:b w:val="0"/>
                <w:sz w:val="19"/>
              </w:rPr>
              <w:t>21 / 1</w:t>
            </w:r>
          </w:p>
        </w:tc>
        <w:tc>
          <w:tcPr>
            <w:tcW w:type="dxa" w:w="1926"/>
            <w:vAlign w:val="center"/>
          </w:tcPr>
          <w:p>
            <w:pPr>
              <w:keepNext w:val="0"/>
              <w:spacing w:line="252" w:lineRule="auto" w:before="60" w:after="60"/>
            </w:pPr>
            <w:r>
              <w:rPr>
                <w:b w:val="0"/>
                <w:sz w:val="19"/>
              </w:rPr>
              <w:t>21 / 1</w:t>
            </w:r>
          </w:p>
        </w:tc>
        <w:tc>
          <w:tcPr>
            <w:tcW w:type="dxa" w:w="1926"/>
            <w:vAlign w:val="center"/>
          </w:tcPr>
          <w:p>
            <w:pPr>
              <w:keepNext w:val="0"/>
              <w:spacing w:line="252" w:lineRule="auto" w:before="60" w:after="60"/>
            </w:pPr>
            <w:r>
              <w:rPr>
                <w:b w:val="0"/>
                <w:sz w:val="19"/>
              </w:rPr>
              <w:t>0.0</w:t>
            </w:r>
          </w:p>
        </w:tc>
        <w:tc>
          <w:tcPr>
            <w:tcW w:type="dxa" w:w="1926"/>
            <w:vAlign w:val="center"/>
          </w:tcPr>
          <w:p>
            <w:pPr>
              <w:keepNext w:val="0"/>
              <w:spacing w:line="252" w:lineRule="auto" w:before="60" w:after="60"/>
            </w:pPr>
            <w:r>
              <w:rPr>
                <w:b w:val="0"/>
                <w:sz w:val="19"/>
              </w:rPr>
              <w:t>−3.85 to +3.85</w:t>
            </w:r>
          </w:p>
        </w:tc>
      </w:tr>
    </w:tbl>
    <w:p>
      <w:pPr>
        <w:spacing w:line="252" w:lineRule="auto"/>
      </w:pPr>
      <w:r>
        <w:rPr>
          <w:sz w:val="18"/>
        </w:rPr>
        <w:t>Notes: Outer ranges assign target unknowns independently. When only the documented same-predicate unknowns receive coupled completions, every difference is zero. The comparison was specified after the Python–PyTorch result was known and is diagnostic rather than a holdout test. Source review was model-assisted, not an independent human validation.</w:t>
      </w:r>
    </w:p>
    <w:p>
      <w:pPr>
        <w:pStyle w:val="Heading1"/>
      </w:pPr>
      <w:r>
        <w:t>S8  Semantic readings versus scope alternatives</w:t>
      </w:r>
    </w:p>
    <w:p>
      <w:r>
        <w:t>The original diagnostic selected 105 advertisement–technology pairs from 94 advertisements using a fixed hash order within prior-G strata. A fresh model reading produced 16 Q differences. Three explicit-example PyTorch cases were clarified from U to Z in the current narrow Q. A subsequent full review of the 46 remaining U rows and repeated parent clauses resolved five additional U states to Z: one PyTorch and four C++ states. A final same-predicate audit then moved two bare-parenthetical PyTorch records to Q-U for consistent treatment: N0798 from P and N1044 from Z. Both remain P under Q+E and Q+C+E because their live unconditional and example readings are admitted. These seven v4 amendments are stored in an overlay; frozen v3 inputs remain unchanged. Ten list/slash cases form seven coupled switches, yielding 128 combinations. Three readings inconsistent with the fixed modifier rule remain in an all-fresh stress test.</w:t>
      </w:r>
    </w:p>
    <w:p>
      <w:r>
        <w:t>Those 128 readings vary the state under the existing narrow-Q definition. They do not enumerate every possible semantic interpretation and do not test a different example-inclusive estimand. The working manuscript therefore reports semantic envelopes for Q and separate scope alternatives for Q+E and Q+C+E.</w:t>
      </w:r>
    </w:p>
    <w:p>
      <w:r>
        <w:t>Unknown assignment adds another layer. It moves recorded U states to binary endpoints within a construct. It does not decide whether a known example should be in that construct. These layers must not be combined into a single “robustness” label.</w:t>
      </w:r>
    </w:p>
    <w:p>
      <w:pPr>
        <w:pStyle w:val="Heading1"/>
      </w:pPr>
      <w:r>
        <w:t>S9  Firm comparisons and classification breakdown</w:t>
      </w:r>
    </w:p>
    <w:p>
      <w:r>
        <w:t>Firm cells retain the fixed task base B, mention counts, GENERAL and Q states, conditional proportions and assignment ranges. Eligibility requires both firms to have at least N evaluable observations in mention, GENERAL and Q. N=10 yields three comparisons, all Galbot–XSquare. N=5 yields 32 comparisons across nine companies; the three stricter pairs recur.</w:t>
      </w:r>
    </w:p>
    <w:p>
      <w:pPr>
        <w:pStyle w:val="Caption"/>
      </w:pPr>
      <w:r>
        <w:t>Supplementary Table S7. Narrow-Q comparison classifications</w:t>
      </w:r>
    </w:p>
    <w:tbl>
      <w:tblPr>
        <w:tblW w:type="auto" w:w="0"/>
        <w:tblLayout w:type="fixed"/>
        <w:tblLook w:firstColumn="1" w:firstRow="1" w:lastColumn="0" w:lastRow="0" w:noHBand="0" w:noVBand="1" w:val="04A0"/>
        <w:tblBorders>
          <w:top w:val="single" w:sz="4" w:color="B0B0B0"/>
          <w:bottom w:val="single" w:sz="4" w:color="B0B0B0"/>
          <w:insideH w:val="single" w:sz="4" w:color="B0B0B0"/>
        </w:tblBorders>
      </w:tblPr>
      <w:tblGrid>
        <w:gridCol w:w="2154"/>
        <w:gridCol w:w="1284"/>
        <w:gridCol w:w="1284"/>
        <w:gridCol w:w="1284"/>
        <w:gridCol w:w="1284"/>
        <w:gridCol w:w="1284"/>
        <w:gridCol w:w="1284"/>
      </w:tblGrid>
      <w:tr>
        <w:trPr>
          <w:cantSplit/>
          <w:tblHeader/>
        </w:trPr>
        <w:tc>
          <w:tcPr>
            <w:tcW w:type="dxa" w:w="2154"/>
            <w:vAlign w:val="center"/>
            <w:shd w:fill="F2F2F2"/>
          </w:tcPr>
          <w:p>
            <w:pPr>
              <w:keepNext/>
              <w:spacing w:line="252" w:lineRule="auto" w:before="60" w:after="60"/>
            </w:pPr>
            <w:r>
              <w:rPr>
                <w:b/>
                <w:sz w:val="19"/>
              </w:rPr>
              <w:t>N</w:t>
            </w:r>
          </w:p>
        </w:tc>
        <w:tc>
          <w:tcPr>
            <w:tcW w:type="dxa" w:w="1284"/>
            <w:vAlign w:val="center"/>
            <w:shd w:fill="F2F2F2"/>
          </w:tcPr>
          <w:p>
            <w:pPr>
              <w:keepNext/>
              <w:spacing w:line="252" w:lineRule="auto" w:before="60" w:after="60"/>
            </w:pPr>
            <w:r>
              <w:rPr>
                <w:b/>
                <w:sz w:val="19"/>
              </w:rPr>
              <w:t>Pairs</w:t>
            </w:r>
          </w:p>
        </w:tc>
        <w:tc>
          <w:tcPr>
            <w:tcW w:type="dxa" w:w="1284"/>
            <w:vAlign w:val="center"/>
            <w:shd w:fill="F2F2F2"/>
          </w:tcPr>
          <w:p>
            <w:pPr>
              <w:keepNext/>
              <w:spacing w:line="252" w:lineRule="auto" w:before="60" w:after="60"/>
            </w:pPr>
            <w:r>
              <w:rPr>
                <w:b/>
                <w:sz w:val="19"/>
              </w:rPr>
              <w:t>Supported retention</w:t>
            </w:r>
          </w:p>
        </w:tc>
        <w:tc>
          <w:tcPr>
            <w:tcW w:type="dxa" w:w="1284"/>
            <w:vAlign w:val="center"/>
            <w:shd w:fill="F2F2F2"/>
          </w:tcPr>
          <w:p>
            <w:pPr>
              <w:keepNext/>
              <w:spacing w:line="252" w:lineRule="auto" w:before="60" w:after="60"/>
            </w:pPr>
            <w:r>
              <w:rPr>
                <w:b/>
                <w:sz w:val="19"/>
              </w:rPr>
              <w:t>Supported reversal</w:t>
            </w:r>
          </w:p>
        </w:tc>
        <w:tc>
          <w:tcPr>
            <w:tcW w:type="dxa" w:w="1284"/>
            <w:vAlign w:val="center"/>
            <w:shd w:fill="F2F2F2"/>
          </w:tcPr>
          <w:p>
            <w:pPr>
              <w:keepNext/>
              <w:spacing w:line="252" w:lineRule="auto" w:before="60" w:after="60"/>
            </w:pPr>
            <w:r>
              <w:rPr>
                <w:b/>
                <w:sz w:val="19"/>
              </w:rPr>
              <w:t>Conditional reversal overlap</w:t>
            </w:r>
          </w:p>
        </w:tc>
        <w:tc>
          <w:tcPr>
            <w:tcW w:type="dxa" w:w="1284"/>
            <w:vAlign w:val="center"/>
            <w:shd w:fill="F2F2F2"/>
          </w:tcPr>
          <w:p>
            <w:pPr>
              <w:keepNext/>
              <w:spacing w:line="252" w:lineRule="auto" w:before="60" w:after="60"/>
            </w:pPr>
            <w:r>
              <w:rPr>
                <w:b/>
                <w:sz w:val="19"/>
              </w:rPr>
              <w:t>Conditional retention overlap</w:t>
            </w:r>
          </w:p>
        </w:tc>
        <w:tc>
          <w:tcPr>
            <w:tcW w:type="dxa" w:w="1284"/>
            <w:vAlign w:val="center"/>
            <w:shd w:fill="F2F2F2"/>
          </w:tcPr>
          <w:p>
            <w:pPr>
              <w:keepNext/>
              <w:spacing w:line="252" w:lineRule="auto" w:before="60" w:after="60"/>
            </w:pPr>
            <w:r>
              <w:rPr>
                <w:b/>
                <w:sz w:val="19"/>
              </w:rPr>
              <w:t>Conditional tie overlap</w:t>
            </w:r>
          </w:p>
        </w:tc>
      </w:tr>
      <w:tr>
        <w:trPr>
          <w:cantSplit/>
        </w:trPr>
        <w:tc>
          <w:tcPr>
            <w:tcW w:type="dxa" w:w="2154"/>
            <w:vAlign w:val="center"/>
          </w:tcPr>
          <w:p>
            <w:pPr>
              <w:keepNext w:val="0"/>
              <w:spacing w:line="252" w:lineRule="auto" w:before="60" w:after="60"/>
            </w:pPr>
            <w:r>
              <w:rPr>
                <w:b w:val="0"/>
                <w:sz w:val="19"/>
              </w:rPr>
              <w:t>10</w:t>
            </w:r>
          </w:p>
        </w:tc>
        <w:tc>
          <w:tcPr>
            <w:tcW w:type="dxa" w:w="1284"/>
            <w:vAlign w:val="center"/>
          </w:tcPr>
          <w:p>
            <w:pPr>
              <w:keepNext w:val="0"/>
              <w:spacing w:line="252" w:lineRule="auto" w:before="60" w:after="60"/>
            </w:pPr>
            <w:r>
              <w:rPr>
                <w:b w:val="0"/>
                <w:sz w:val="19"/>
              </w:rPr>
              <w:t>3</w:t>
            </w:r>
          </w:p>
        </w:tc>
        <w:tc>
          <w:tcPr>
            <w:tcW w:type="dxa" w:w="1284"/>
            <w:vAlign w:val="center"/>
          </w:tcPr>
          <w:p>
            <w:pPr>
              <w:keepNext w:val="0"/>
              <w:spacing w:line="252" w:lineRule="auto" w:before="60" w:after="60"/>
            </w:pPr>
            <w:r>
              <w:rPr>
                <w:b w:val="0"/>
                <w:sz w:val="19"/>
              </w:rPr>
              <w:t>2</w:t>
            </w:r>
          </w:p>
        </w:tc>
        <w:tc>
          <w:tcPr>
            <w:tcW w:type="dxa" w:w="1284"/>
            <w:vAlign w:val="center"/>
          </w:tcPr>
          <w:p>
            <w:pPr>
              <w:keepNext w:val="0"/>
              <w:spacing w:line="252" w:lineRule="auto" w:before="60" w:after="60"/>
            </w:pPr>
            <w:r>
              <w:rPr>
                <w:b w:val="0"/>
                <w:sz w:val="19"/>
              </w:rPr>
              <w:t>0</w:t>
            </w:r>
          </w:p>
        </w:tc>
        <w:tc>
          <w:tcPr>
            <w:tcW w:type="dxa" w:w="1284"/>
            <w:vAlign w:val="center"/>
          </w:tcPr>
          <w:p>
            <w:pPr>
              <w:keepNext w:val="0"/>
              <w:spacing w:line="252" w:lineRule="auto" w:before="60" w:after="60"/>
            </w:pPr>
            <w:r>
              <w:rPr>
                <w:b w:val="0"/>
                <w:sz w:val="19"/>
              </w:rPr>
              <w:t>1</w:t>
            </w:r>
          </w:p>
        </w:tc>
        <w:tc>
          <w:tcPr>
            <w:tcW w:type="dxa" w:w="1284"/>
            <w:vAlign w:val="center"/>
          </w:tcPr>
          <w:p>
            <w:pPr>
              <w:keepNext w:val="0"/>
              <w:spacing w:line="252" w:lineRule="auto" w:before="60" w:after="60"/>
            </w:pPr>
            <w:r>
              <w:rPr>
                <w:b w:val="0"/>
                <w:sz w:val="19"/>
              </w:rPr>
              <w:t>0</w:t>
            </w:r>
          </w:p>
        </w:tc>
        <w:tc>
          <w:tcPr>
            <w:tcW w:type="dxa" w:w="1284"/>
            <w:vAlign w:val="center"/>
          </w:tcPr>
          <w:p>
            <w:pPr>
              <w:keepNext w:val="0"/>
              <w:spacing w:line="252" w:lineRule="auto" w:before="60" w:after="60"/>
            </w:pPr>
            <w:r>
              <w:rPr>
                <w:b w:val="0"/>
                <w:sz w:val="19"/>
              </w:rPr>
              <w:t>0</w:t>
            </w:r>
          </w:p>
        </w:tc>
      </w:tr>
      <w:tr>
        <w:trPr>
          <w:cantSplit/>
        </w:trPr>
        <w:tc>
          <w:tcPr>
            <w:tcW w:type="dxa" w:w="2154"/>
            <w:vAlign w:val="center"/>
          </w:tcPr>
          <w:p>
            <w:pPr>
              <w:keepNext w:val="0"/>
              <w:spacing w:line="252" w:lineRule="auto" w:before="60" w:after="60"/>
            </w:pPr>
            <w:r>
              <w:rPr>
                <w:b w:val="0"/>
                <w:sz w:val="19"/>
              </w:rPr>
              <w:t>5</w:t>
            </w:r>
          </w:p>
        </w:tc>
        <w:tc>
          <w:tcPr>
            <w:tcW w:type="dxa" w:w="1284"/>
            <w:vAlign w:val="center"/>
          </w:tcPr>
          <w:p>
            <w:pPr>
              <w:keepNext w:val="0"/>
              <w:spacing w:line="252" w:lineRule="auto" w:before="60" w:after="60"/>
            </w:pPr>
            <w:r>
              <w:rPr>
                <w:b w:val="0"/>
                <w:sz w:val="19"/>
              </w:rPr>
              <w:t>32</w:t>
            </w:r>
          </w:p>
        </w:tc>
        <w:tc>
          <w:tcPr>
            <w:tcW w:type="dxa" w:w="1284"/>
            <w:vAlign w:val="center"/>
          </w:tcPr>
          <w:p>
            <w:pPr>
              <w:keepNext w:val="0"/>
              <w:spacing w:line="252" w:lineRule="auto" w:before="60" w:after="60"/>
            </w:pPr>
            <w:r>
              <w:rPr>
                <w:b w:val="0"/>
                <w:sz w:val="19"/>
              </w:rPr>
              <w:t>22</w:t>
            </w:r>
          </w:p>
        </w:tc>
        <w:tc>
          <w:tcPr>
            <w:tcW w:type="dxa" w:w="1284"/>
            <w:vAlign w:val="center"/>
          </w:tcPr>
          <w:p>
            <w:pPr>
              <w:keepNext w:val="0"/>
              <w:spacing w:line="252" w:lineRule="auto" w:before="60" w:after="60"/>
            </w:pPr>
            <w:r>
              <w:rPr>
                <w:b w:val="0"/>
                <w:sz w:val="19"/>
              </w:rPr>
              <w:t>5</w:t>
            </w:r>
          </w:p>
        </w:tc>
        <w:tc>
          <w:tcPr>
            <w:tcW w:type="dxa" w:w="1284"/>
            <w:vAlign w:val="center"/>
          </w:tcPr>
          <w:p>
            <w:pPr>
              <w:keepNext w:val="0"/>
              <w:spacing w:line="252" w:lineRule="auto" w:before="60" w:after="60"/>
            </w:pPr>
            <w:r>
              <w:rPr>
                <w:b w:val="0"/>
                <w:sz w:val="19"/>
              </w:rPr>
              <w:t>3</w:t>
            </w:r>
          </w:p>
        </w:tc>
        <w:tc>
          <w:tcPr>
            <w:tcW w:type="dxa" w:w="1284"/>
            <w:vAlign w:val="center"/>
          </w:tcPr>
          <w:p>
            <w:pPr>
              <w:keepNext w:val="0"/>
              <w:spacing w:line="252" w:lineRule="auto" w:before="60" w:after="60"/>
            </w:pPr>
            <w:r>
              <w:rPr>
                <w:b w:val="0"/>
                <w:sz w:val="19"/>
              </w:rPr>
              <w:t>1</w:t>
            </w:r>
          </w:p>
        </w:tc>
        <w:tc>
          <w:tcPr>
            <w:tcW w:type="dxa" w:w="1284"/>
            <w:vAlign w:val="center"/>
          </w:tcPr>
          <w:p>
            <w:pPr>
              <w:keepNext w:val="0"/>
              <w:spacing w:line="252" w:lineRule="auto" w:before="60" w:after="60"/>
            </w:pPr>
            <w:r>
              <w:rPr>
                <w:b w:val="0"/>
                <w:sz w:val="19"/>
              </w:rPr>
              <w:t>1</w:t>
            </w:r>
          </w:p>
        </w:tc>
      </w:tr>
    </w:tbl>
    <w:p>
      <w:r>
        <w:t xml:space="preserve">The adversarial breakdown orients each supported pair from higher to lower Q. A resolved positive removed from the higher firm changes the margin by </w:t>
      </w:r>
      <m:oMath>
        <m:r>
          <m:t>1</m:t>
        </m:r>
        <m:r>
          <m:t>/</m:t>
        </m:r>
        <m:sSub>
          <m:e>
            <m:r>
              <m:t>B</m:t>
            </m:r>
          </m:e>
          <m:sub>
            <m:r>
              <m:t>H</m:t>
            </m:r>
          </m:sub>
        </m:sSub>
      </m:oMath>
      <w:r>
        <w:t xml:space="preserve">; a mentioned resolved nonpositive changed to positive in the lower firm changes it by </w:t>
      </w:r>
      <m:oMath>
        <m:r>
          <m:t>1</m:t>
        </m:r>
        <m:r>
          <m:t>/</m:t>
        </m:r>
        <m:sSub>
          <m:e>
            <m:r>
              <m:t>B</m:t>
            </m:r>
          </m:e>
          <m:sub>
            <m:r>
              <m:t>L</m:t>
            </m:r>
          </m:sub>
        </m:sSub>
      </m:oMath>
      <w:r>
        <w:t>. Exhaustive integer search finds the minimum edits that make the least-favorable margin zero or negative.</w:t>
      </w:r>
    </w:p>
    <w:p>
      <w:r>
        <w:t>At N=5, 27 directions are supported in all 128 narrow-Q readings. Ten lose strict support after one adverse correction, 18 after at most two and 21 after at most three. Of the five supported reversals, four need one correction and one needs two. These are mathematical witnesses, not records believed to be wrong.</w:t>
      </w:r>
    </w:p>
    <w:p>
      <w:pPr>
        <w:pStyle w:val="Heading1"/>
      </w:pPr>
      <w:r>
        <w:t>S10  Process and evidential limits</w:t>
      </w:r>
    </w:p>
    <w:p>
      <w:r>
        <w:t>The author reviewed the accepted corpus and resolved project-level task and function rules. The preserved package does not document an independent human second code for every technology relation. Model-assisted source reading, coordinating adjudication, deterministic computation and independent arithmetic verification are distinct activities.</w:t>
      </w:r>
    </w:p>
    <w:p>
      <w:r>
        <w:t>The earlier paired implementation was independently rebuilt without importing the production script and passed 11,083 identity and arithmetic comparisons. It verified weights, joins, leave-one-firm-out values and 128 reading envelopes. The independent audit of paired-breakdown outputs passed 22,656 checks. A separate qualification-scope implementation passed 3,608 checks covering state nesting, metric reconciliation and evidence links. The framework-control implementation passed 3,176 independent checks of inventories, states and contrasts. Production checks also verify the source spans and hashes. None of these computational audits validates source meaning as an independent human recode.</w:t>
      </w:r>
    </w:p>
    <w:p>
      <w:r>
        <w:t>The project also faces a venue-policy issue. Emerald's current narrative policy prohibits generative-AI copywriting and contains restrictions on using LLMs to generate, manipulate or report data and results, while allowing transparent analytical assistance and copy-editing of author-created text. The exact application to model-assisted text classification requires publisher interpretation. This supplement is therefore an internal evidence document, not a policy-cleared submission artifact.</w:t>
      </w:r>
    </w:p>
    <w:p>
      <w:pPr>
        <w:pStyle w:val="Heading1"/>
      </w:pPr>
      <w:r>
        <w:t>S11  Reproduction map</w:t>
      </w:r>
    </w:p>
    <w:p>
      <w:r>
        <w:t>Primary v4 inputs and outputs are located under:</w:t>
      </w:r>
    </w:p>
    <w:p>
      <w:pPr>
        <w:pStyle w:val="ListBullet"/>
      </w:pPr>
      <w:r>
        <w:rPr>
          <w:rFonts w:ascii="Consolas" w:hAnsi="Consolas"/>
          <w:sz w:val="18"/>
        </w:rPr>
        <w:t>analysis_E_english_v4_0/source_snapshot/analysis/ad_technology_current.csv</w:t>
      </w:r>
    </w:p>
    <w:p>
      <w:pPr>
        <w:pStyle w:val="ListBullet"/>
      </w:pPr>
      <w:r>
        <w:rPr>
          <w:rFonts w:ascii="Consolas" w:hAnsi="Consolas"/>
          <w:sz w:val="18"/>
        </w:rPr>
        <w:t>analysis_E_english_v4_0/source_snapshot/source_v2/data/inputs/context_index.csv</w:t>
      </w:r>
    </w:p>
    <w:p>
      <w:pPr>
        <w:pStyle w:val="ListBullet"/>
      </w:pPr>
      <w:r>
        <w:rPr>
          <w:rFonts w:ascii="Consolas" w:hAnsi="Consolas"/>
          <w:sz w:val="18"/>
        </w:rPr>
        <w:t>analysis_E_english_v4_0/source_snapshot/source_v2/data/inputs/context_evidence.csv</w:t>
      </w:r>
    </w:p>
    <w:p>
      <w:pPr>
        <w:pStyle w:val="ListBullet"/>
      </w:pPr>
      <w:r>
        <w:rPr>
          <w:rFonts w:ascii="Consolas" w:hAnsi="Consolas"/>
          <w:sz w:val="18"/>
        </w:rPr>
        <w:t>analysis_E_english_v4_0/analysis/paired/paired_summary.csv</w:t>
      </w:r>
    </w:p>
    <w:p>
      <w:pPr>
        <w:pStyle w:val="ListBullet"/>
      </w:pPr>
      <w:r>
        <w:rPr>
          <w:rFonts w:ascii="Consolas" w:hAnsi="Consolas"/>
          <w:sz w:val="18"/>
        </w:rPr>
        <w:t>analysis_E_english_v4_0/analysis/paired/paired_joint_states.csv</w:t>
      </w:r>
    </w:p>
    <w:p>
      <w:pPr>
        <w:pStyle w:val="ListBullet"/>
      </w:pPr>
      <w:r>
        <w:rPr>
          <w:rFonts w:ascii="Consolas" w:hAnsi="Consolas"/>
          <w:sz w:val="18"/>
        </w:rPr>
        <w:t>analysis_E_english_v4_0/analysis/paired/qualification_scope_states.csv</w:t>
      </w:r>
    </w:p>
    <w:p>
      <w:pPr>
        <w:pStyle w:val="ListBullet"/>
      </w:pPr>
      <w:r>
        <w:rPr>
          <w:rFonts w:ascii="Consolas" w:hAnsi="Consolas"/>
          <w:sz w:val="18"/>
        </w:rPr>
        <w:t>analysis_E_english_v4_0/analysis/paired/qualification_scope_summary.csv</w:t>
      </w:r>
    </w:p>
    <w:p>
      <w:pPr>
        <w:pStyle w:val="ListBullet"/>
      </w:pPr>
      <w:r>
        <w:rPr>
          <w:rFonts w:ascii="Consolas" w:hAnsi="Consolas"/>
          <w:sz w:val="18"/>
        </w:rPr>
        <w:t>analysis_E_english_v4_0/analysis/paired/qualification_scope_contrasts.csv</w:t>
      </w:r>
    </w:p>
    <w:p>
      <w:pPr>
        <w:pStyle w:val="ListBullet"/>
      </w:pPr>
      <w:r>
        <w:rPr>
          <w:rFonts w:ascii="Consolas" w:hAnsi="Consolas"/>
          <w:sz w:val="18"/>
        </w:rPr>
        <w:t>analysis_E_english_v4_0/analysis/example_increments/admission_rule_contrasts.csv</w:t>
      </w:r>
    </w:p>
    <w:p>
      <w:pPr>
        <w:pStyle w:val="ListBullet"/>
      </w:pPr>
      <w:r>
        <w:rPr>
          <w:rFonts w:ascii="Consolas" w:hAnsi="Consolas"/>
          <w:sz w:val="18"/>
        </w:rPr>
        <w:t>analysis_E_english_v4_0/analysis/example_increments/example_increment_ledger.csv</w:t>
      </w:r>
    </w:p>
    <w:p>
      <w:pPr>
        <w:pStyle w:val="ListBullet"/>
      </w:pPr>
      <w:r>
        <w:rPr>
          <w:rFonts w:ascii="Consolas" w:hAnsi="Consolas"/>
          <w:sz w:val="18"/>
        </w:rPr>
        <w:t>analysis_E_english_v4_0/analysis/v4_ad_technology_current.csv</w:t>
      </w:r>
    </w:p>
    <w:p>
      <w:pPr>
        <w:pStyle w:val="ListBullet"/>
      </w:pPr>
      <w:r>
        <w:rPr>
          <w:rFonts w:ascii="Consolas" w:hAnsi="Consolas"/>
          <w:sz w:val="18"/>
        </w:rPr>
        <w:t>analysis_E_english_v4_0/analysis/v4_overlay_checks.json</w:t>
      </w:r>
    </w:p>
    <w:p>
      <w:pPr>
        <w:pStyle w:val="ListBullet"/>
      </w:pPr>
      <w:r>
        <w:rPr>
          <w:rFonts w:ascii="Consolas" w:hAnsi="Consolas"/>
          <w:sz w:val="18"/>
        </w:rPr>
        <w:t>analysis_E_english_v4_0/extensions/framework_control/outputs/framework_contrasts.csv</w:t>
      </w:r>
    </w:p>
    <w:p>
      <w:pPr>
        <w:pStyle w:val="ListBullet"/>
      </w:pPr>
      <w:r>
        <w:rPr>
          <w:rFonts w:ascii="Consolas" w:hAnsi="Consolas"/>
          <w:sz w:val="18"/>
        </w:rPr>
        <w:t>analysis_E_english_v4_0/extensions/framework_control/outputs/source_review_26.csv</w:t>
      </w:r>
    </w:p>
    <w:p>
      <w:pPr>
        <w:pStyle w:val="ListBullet"/>
      </w:pPr>
      <w:r>
        <w:rPr>
          <w:rFonts w:ascii="Consolas" w:hAnsi="Consolas"/>
          <w:sz w:val="18"/>
        </w:rPr>
        <w:t>analysis_E_english_v4_0/analysis/empirical/classification_breakdown_envelopes.csv</w:t>
      </w:r>
    </w:p>
    <w:p>
      <w:r>
        <w:t xml:space="preserve">Run </w:t>
      </w:r>
      <w:r>
        <w:rPr>
          <w:rFonts w:ascii="Consolas" w:hAnsi="Consolas"/>
          <w:sz w:val="18"/>
        </w:rPr>
        <w:t>python REPRODUCE.py</w:t>
      </w:r>
      <w:r>
        <w:t xml:space="preserve"> from </w:t>
      </w:r>
      <w:r>
        <w:rPr>
          <w:rFonts w:ascii="Consolas" w:hAnsi="Consolas"/>
          <w:sz w:val="18"/>
        </w:rPr>
        <w:t>analysis_E_english_v4_0</w:t>
      </w:r>
      <w:r>
        <w:t xml:space="preserve"> as the 20-step offline reproduction entry point. The production scripts include </w:t>
      </w:r>
      <w:r>
        <w:rPr>
          <w:rFonts w:ascii="Consolas" w:hAnsi="Consolas"/>
          <w:sz w:val="18"/>
        </w:rPr>
        <w:t>work/apply_v4_overlay.py</w:t>
      </w:r>
      <w:r>
        <w:t xml:space="preserve">, </w:t>
      </w:r>
      <w:r>
        <w:rPr>
          <w:rFonts w:ascii="Consolas" w:hAnsi="Consolas"/>
          <w:sz w:val="18"/>
        </w:rPr>
        <w:t>work/paired_analysis.py</w:t>
      </w:r>
      <w:r>
        <w:t xml:space="preserve">, </w:t>
      </w:r>
      <w:r>
        <w:rPr>
          <w:rFonts w:ascii="Consolas" w:hAnsi="Consolas"/>
          <w:sz w:val="18"/>
        </w:rPr>
        <w:t>work/paired_context.py</w:t>
      </w:r>
      <w:r>
        <w:t xml:space="preserve">, </w:t>
      </w:r>
      <w:r>
        <w:rPr>
          <w:rFonts w:ascii="Consolas" w:hAnsi="Consolas"/>
          <w:sz w:val="18"/>
        </w:rPr>
        <w:t>work/qualification_scope.py</w:t>
      </w:r>
      <w:r>
        <w:t xml:space="preserve">, </w:t>
      </w:r>
      <w:r>
        <w:rPr>
          <w:rFonts w:ascii="Consolas" w:hAnsi="Consolas"/>
          <w:sz w:val="18"/>
        </w:rPr>
        <w:t>work/paired_breakdown.py</w:t>
      </w:r>
      <w:r>
        <w:t xml:space="preserve"> and </w:t>
      </w:r>
      <w:r>
        <w:rPr>
          <w:rFonts w:ascii="Consolas" w:hAnsi="Consolas"/>
          <w:sz w:val="18"/>
        </w:rPr>
        <w:t>work/empirical/classification_breakdown.py</w:t>
      </w:r>
      <w:r>
        <w:t xml:space="preserve">. Input hashes and check counts accompany the output directories. The frozen v3 materials identify the source version; reproduction uses the packaged </w:t>
      </w:r>
      <w:r>
        <w:rPr>
          <w:rFonts w:ascii="Consolas" w:hAnsi="Consolas"/>
          <w:sz w:val="18"/>
        </w:rPr>
        <w:t>source_snapshot</w:t>
      </w:r>
      <w:r>
        <w:t xml:space="preserve"> and does not depend on a neighboring v3 directory.</w:t>
      </w:r>
    </w:p>
    <w:sectPr w:rsidR="00FC693F" w:rsidRPr="0006063C" w:rsidSect="00034616">
      <w:footerReference w:type="default" r:id="rId9"/>
      <w:pgSz w:w="12240" w:h="15840"/>
      <w:pgMar w:top="1134" w:right="1191" w:bottom="1134" w:left="1191"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Times New Roman" w:hAnsi="Times New Roman" w:eastAsia="SimSu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imSu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SimSu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SimSun"/>
      <w:b w:val="0"/>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SimSu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SimSun"/>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Times New Roman" w:hAnsi="Times New Roman" w:eastAsia="SimSu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to “What Counts as a Technology Qualification in Embodied AI Hiring?”</dc:title>
  <dc:subject>Research working manuscript</dc:subject>
  <dc:creator/>
  <cp:keywords/>
  <dc:description/>
  <cp:lastModifiedBy/>
  <cp:revision>1</cp:revision>
  <dcterms:created xsi:type="dcterms:W3CDTF">2013-12-23T23:15:00Z</dcterms:created>
  <dcterms:modified xsi:type="dcterms:W3CDTF">2013-12-23T23:15:00Z</dcterms:modified>
  <cp:category/>
</cp:coreProperties>
</file>