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Tables for technology qualification research</w:t>
      </w:r>
    </w:p>
    <w:p>
      <w:pPr>
        <w:pStyle w:val="Caption"/>
      </w:pPr>
      <w:r>
        <w:t>Table I. Technology ordering across qualification constructs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bottom w:val="single" w:sz="4" w:color="B0B0B0"/>
          <w:insideH w:val="single" w:sz="4" w:color="B0B0B0"/>
        </w:tblBorders>
      </w:tblPr>
      <w:tblGrid>
        <w:gridCol w:w="1814"/>
        <w:gridCol w:w="1814"/>
        <w:gridCol w:w="680"/>
        <w:gridCol w:w="680"/>
        <w:gridCol w:w="1134"/>
        <w:gridCol w:w="3736"/>
      </w:tblGrid>
      <w:tr>
        <w:trPr>
          <w:cantSplit/>
          <w:tblHeader/>
        </w:trPr>
        <w:tc>
          <w:tcPr>
            <w:tcW w:type="dxa" w:w="1814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9"/>
              </w:rPr>
              <w:t>Task and contrast A−B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9"/>
              </w:rPr>
              <w:t>Construct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9"/>
              </w:rPr>
              <w:t>A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9"/>
              </w:rPr>
              <w:t>B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9"/>
              </w:rPr>
              <w:t>Gap pp</w:t>
            </w:r>
          </w:p>
        </w:tc>
        <w:tc>
          <w:tcPr>
            <w:tcW w:type="dxa" w:w="3736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9"/>
              </w:rPr>
              <w:t>Difference range pp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Python−PyTorch, 105 ads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Mention M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73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83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−9.5</w:t>
            </w:r>
          </w:p>
        </w:tc>
        <w:tc>
          <w:tcPr>
            <w:tcW w:type="dxa" w:w="3736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−9.5 to −9.5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Qualification context H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67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79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−11.4</w:t>
            </w:r>
          </w:p>
        </w:tc>
        <w:tc>
          <w:tcPr>
            <w:tcW w:type="dxa" w:w="3736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−11.4 to −11.4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Unconditional Q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42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+19.0</w:t>
            </w:r>
          </w:p>
        </w:tc>
        <w:tc>
          <w:tcPr>
            <w:tcW w:type="dxa" w:w="3736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+13.3 to +35.2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Q plus all recorded examples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43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65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−21.0</w:t>
            </w:r>
          </w:p>
        </w:tc>
        <w:tc>
          <w:tcPr>
            <w:tcW w:type="dxa" w:w="3736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−24.8 to −4.8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Q plus choices/all recorded examples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75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−23.8</w:t>
            </w:r>
          </w:p>
        </w:tc>
        <w:tc>
          <w:tcPr>
            <w:tcW w:type="dxa" w:w="3736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−27.6 to −7.6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C++−Linux, 87 ads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Mention M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80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52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+32.2</w:t>
            </w:r>
          </w:p>
        </w:tc>
        <w:tc>
          <w:tcPr>
            <w:tcW w:type="dxa" w:w="3736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+32.2 to +32.2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Qualification context H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74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+27.6</w:t>
            </w:r>
          </w:p>
        </w:tc>
        <w:tc>
          <w:tcPr>
            <w:tcW w:type="dxa" w:w="3736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+27.6 to +27.6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Unconditional Q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38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47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−10.3</w:t>
            </w:r>
          </w:p>
        </w:tc>
        <w:tc>
          <w:tcPr>
            <w:tcW w:type="dxa" w:w="3736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−11.5 to +11.5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Altium−EMC/SI/PI, 56 ads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Mention M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36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−21.4</w:t>
            </w:r>
          </w:p>
        </w:tc>
        <w:tc>
          <w:tcPr>
            <w:tcW w:type="dxa" w:w="3736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−21.4 to −21.4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Qualification context H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+1.8</w:t>
            </w:r>
          </w:p>
        </w:tc>
        <w:tc>
          <w:tcPr>
            <w:tcW w:type="dxa" w:w="3736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+1.8 to +1.8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Unconditional Q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−17.9</w:t>
            </w:r>
          </w:p>
        </w:tc>
        <w:tc>
          <w:tcPr>
            <w:tcW w:type="dxa" w:w="3736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−17.9 to −17.9</w:t>
            </w:r>
          </w:p>
        </w:tc>
      </w:tr>
    </w:tbl>
    <w:p>
      <w:r>
        <w:rPr>
          <w:sz w:val="18"/>
        </w:rPr>
        <w:t>Notes: H records any known GENERAL or REQUIRED qualification branch and excludes the separate PREFERRED metric. Q reports confirmed unconditional technology-specific statements, with recorded U states assigned only in the displayed range. “All recorded examples” is shorthand for the example-admissible relation set and includes two unconditional-or-example ambiguities that are positive under either admitted reading. Scope rows are different constructs, not recodings of Q. A separate implementation reproduced the construction and aggregates.</w:t>
      </w:r>
    </w:p>
    <w:p>
      <w:r>
        <w:br w:type="page"/>
      </w:r>
    </w:p>
    <w:p>
      <w:pPr>
        <w:pStyle w:val="Caption"/>
      </w:pPr>
      <w:r>
        <w:t>Table II. Construct contrasts where both targets are mentioned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bottom w:val="single" w:sz="4" w:color="B0B0B0"/>
          <w:insideH w:val="single" w:sz="4" w:color="B0B0B0"/>
        </w:tblBorders>
      </w:tblPr>
      <w:tblGrid>
        <w:gridCol w:w="2154"/>
        <w:gridCol w:w="1284"/>
        <w:gridCol w:w="1284"/>
        <w:gridCol w:w="1284"/>
        <w:gridCol w:w="1284"/>
        <w:gridCol w:w="1284"/>
        <w:gridCol w:w="1284"/>
      </w:tblGrid>
      <w:tr>
        <w:trPr>
          <w:cantSplit/>
          <w:tblHeader/>
        </w:trPr>
        <w:tc>
          <w:tcPr>
            <w:tcW w:type="dxa" w:w="2154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9"/>
              </w:rPr>
              <w:t>Contrast</w:t>
            </w:r>
          </w:p>
        </w:tc>
        <w:tc>
          <w:tcPr>
            <w:tcW w:type="dxa" w:w="1284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9"/>
              </w:rPr>
              <w:t>Ads</w:t>
            </w:r>
          </w:p>
        </w:tc>
        <w:tc>
          <w:tcPr>
            <w:tcW w:type="dxa" w:w="1284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9"/>
              </w:rPr>
              <w:t>Construct</w:t>
            </w:r>
          </w:p>
        </w:tc>
        <w:tc>
          <w:tcPr>
            <w:tcW w:type="dxa" w:w="1284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9"/>
              </w:rPr>
              <w:t>A</w:t>
            </w:r>
          </w:p>
        </w:tc>
        <w:tc>
          <w:tcPr>
            <w:tcW w:type="dxa" w:w="1284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9"/>
              </w:rPr>
              <w:t>B</w:t>
            </w:r>
          </w:p>
        </w:tc>
        <w:tc>
          <w:tcPr>
            <w:tcW w:type="dxa" w:w="1284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9"/>
              </w:rPr>
              <w:t>Gap pp</w:t>
            </w:r>
          </w:p>
        </w:tc>
        <w:tc>
          <w:tcPr>
            <w:tcW w:type="dxa" w:w="1284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9"/>
              </w:rPr>
              <w:t>Difference range pp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Python−PyTorch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66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H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62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−3.0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−3.0 to −3.0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Q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37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+28.8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+21.2 to +51.5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Q plus all recorded examples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38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51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−19.7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−24.2 to +3.0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Q plus choices/all recorded examples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59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−21.2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−25.8 to +1.5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C++−Linux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48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H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48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+4.2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+4.2 to +4.2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Q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44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−37.5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−39.6 to −4.2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Q plus choices/all recorded examples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−27.1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−29.2 to +6.3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Altium−EMC/SI/PI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H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+41.2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+41.2 to +41.2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Q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0.0 to 0.0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Q plus examples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−11.8</w:t>
            </w:r>
          </w:p>
        </w:tc>
        <w:tc>
          <w:tcPr>
            <w:tcW w:type="dxa" w:w="128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9"/>
              </w:rPr>
              <w:t>−11.8 to −11.8</w:t>
            </w:r>
          </w:p>
        </w:tc>
      </w:tr>
    </w:tbl>
    <w:p>
      <w:r>
        <w:rPr>
          <w:sz w:val="18"/>
        </w:rPr>
        <w:t>Notes: Both targets are mentioned by construction. H can include choice, example, conditional or unresolved branches within GENERAL or REQUIRED. The separate PREFERRED metric is excluded. “All recorded examples” denotes the example-admissible relation set defined in Table I's notes. A separate implementation reproduced the construction and aggregates.</w:t>
      </w:r>
    </w:p>
    <w:p>
      <w:r>
        <w:br w:type="page"/>
      </w:r>
    </w:p>
    <w:p>
      <w:pPr>
        <w:pStyle w:val="Caption"/>
      </w:pPr>
      <w:r>
        <w:t>Table III. Narrow-Q firm comparison fragility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bottom w:val="single" w:sz="4" w:color="B0B0B0"/>
          <w:insideH w:val="single" w:sz="4" w:color="B0B0B0"/>
        </w:tblBorders>
      </w:tblPr>
      <w:tblGrid>
        <w:gridCol w:w="1020"/>
        <w:gridCol w:w="624"/>
        <w:gridCol w:w="1162"/>
        <w:gridCol w:w="1162"/>
        <w:gridCol w:w="1276"/>
        <w:gridCol w:w="1276"/>
        <w:gridCol w:w="1219"/>
        <w:gridCol w:w="1060"/>
        <w:gridCol w:w="1060"/>
      </w:tblGrid>
      <w:tr>
        <w:trPr>
          <w:cantSplit/>
          <w:tblHeader/>
        </w:trPr>
        <w:tc>
          <w:tcPr>
            <w:tcW w:type="dxa" w:w="1020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8"/>
              </w:rPr>
              <w:t>Minimum N</w:t>
            </w:r>
          </w:p>
        </w:tc>
        <w:tc>
          <w:tcPr>
            <w:tcW w:type="dxa" w:w="624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8"/>
              </w:rPr>
              <w:t>Pairs</w:t>
            </w:r>
          </w:p>
        </w:tc>
        <w:tc>
          <w:tcPr>
            <w:tcW w:type="dxa" w:w="1162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8"/>
              </w:rPr>
              <w:t>Supported retention</w:t>
            </w:r>
          </w:p>
        </w:tc>
        <w:tc>
          <w:tcPr>
            <w:tcW w:type="dxa" w:w="1162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8"/>
              </w:rPr>
              <w:t>Supported reversal</w:t>
            </w:r>
          </w:p>
        </w:tc>
        <w:tc>
          <w:tcPr>
            <w:tcW w:type="dxa" w:w="1276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8"/>
              </w:rPr>
              <w:t>Conditional reversal overlap</w:t>
            </w:r>
          </w:p>
        </w:tc>
        <w:tc>
          <w:tcPr>
            <w:tcW w:type="dxa" w:w="1276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8"/>
              </w:rPr>
              <w:t>Conditional retention overlap</w:t>
            </w:r>
          </w:p>
        </w:tc>
        <w:tc>
          <w:tcPr>
            <w:tcW w:type="dxa" w:w="1219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8"/>
              </w:rPr>
              <w:t>Conditional tie overlap</w:t>
            </w:r>
          </w:p>
        </w:tc>
        <w:tc>
          <w:tcPr>
            <w:tcW w:type="dxa" w:w="1060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8"/>
              </w:rPr>
              <w:t>One edit from loss</w:t>
            </w:r>
          </w:p>
        </w:tc>
        <w:tc>
          <w:tcPr>
            <w:tcW w:type="dxa" w:w="1060"/>
            <w:vAlign w:val="center"/>
            <w:shd w:fill="F2F2F2"/>
          </w:tcPr>
          <w:p>
            <w:pPr>
              <w:keepNext/>
              <w:spacing w:line="252" w:lineRule="auto" w:before="60" w:after="60"/>
            </w:pPr>
            <w:r>
              <w:rPr>
                <w:b/>
                <w:sz w:val="18"/>
              </w:rPr>
              <w:t>≤2 edits from loss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62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62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19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6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6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162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162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19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6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10 of 27</w:t>
            </w:r>
          </w:p>
        </w:tc>
        <w:tc>
          <w:tcPr>
            <w:tcW w:type="dxa" w:w="1060"/>
            <w:vAlign w:val="center"/>
          </w:tcPr>
          <w:p>
            <w:pPr>
              <w:keepNext w:val="0"/>
              <w:spacing w:line="252" w:lineRule="auto" w:before="60" w:after="60"/>
            </w:pPr>
            <w:r>
              <w:rPr>
                <w:b w:val="0"/>
                <w:sz w:val="18"/>
              </w:rPr>
              <w:t>18 of 27</w:t>
            </w:r>
          </w:p>
        </w:tc>
      </w:tr>
    </w:tbl>
    <w:p>
      <w:r>
        <w:rPr>
          <w:sz w:val="18"/>
        </w:rPr>
        <w:t>Notes: N=10 pairs recur at N=5. Distances are sensitivity calculations, not detected errors.</w:t>
      </w:r>
    </w:p>
    <w:sectPr w:rsidR="00FC693F" w:rsidRPr="0006063C" w:rsidSect="00034616">
      <w:footerReference w:type="default" r:id="rId9"/>
      <w:pgSz w:w="12240" w:h="15840"/>
      <w:pgMar w:top="1134" w:right="1191" w:bottom="1134" w:left="1191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Times New Roman" w:hAnsi="Times New Roman" w:eastAsia="SimSu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imSun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Times New Roman" w:hAnsi="Times New Roman" w:eastAsia="SimSu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 w:eastAsia="SimSun"/>
      <w:b w:val="0"/>
      <w:bCs/>
      <w:i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SimSu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SimSun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/>
    </w:pPr>
    <w:rPr>
      <w:rFonts w:ascii="Times New Roman" w:hAnsi="Times New Roman" w:eastAsia="SimSu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for technology qualification research</dc:title>
  <dc:subject>Research working manuscript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