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8E" w:rsidRPr="00196D8E" w:rsidRDefault="00196D8E" w:rsidP="00196D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196D8E">
        <w:rPr>
          <w:rFonts w:asciiTheme="majorHAnsi" w:hAnsiTheme="majorHAnsi"/>
          <w:sz w:val="28"/>
          <w:szCs w:val="28"/>
        </w:rPr>
        <w:t>Gas Density (at Real Gas Condition)</w:t>
      </w:r>
    </w:p>
    <w:p w:rsidR="00196D8E" w:rsidRDefault="00196D8E" w:rsidP="00196D8E">
      <w:pPr>
        <w:jc w:val="both"/>
        <w:rPr>
          <w:rFonts w:asciiTheme="majorHAnsi" w:eastAsiaTheme="minorEastAsia" w:hAnsiTheme="majorHAnsi"/>
          <w:sz w:val="24"/>
          <w:szCs w:val="24"/>
          <w:lang w:val="en-GB"/>
        </w:rPr>
      </w:pPr>
      <w:r>
        <w:rPr>
          <w:rFonts w:asciiTheme="majorHAnsi" w:eastAsiaTheme="minorEastAsia" w:hAnsiTheme="majorHAnsi"/>
          <w:sz w:val="24"/>
          <w:szCs w:val="24"/>
        </w:rPr>
        <w:t>Gas density at real condition is computed thus:</w:t>
      </w:r>
    </w:p>
    <w:p w:rsidR="00196D8E" w:rsidRDefault="00196D8E" w:rsidP="00196D8E">
      <w:pPr>
        <w:jc w:val="both"/>
        <w:rPr>
          <w:rFonts w:asciiTheme="majorHAnsi" w:eastAsiaTheme="minorEastAsia" w:hAnsiTheme="majorHAnsi"/>
          <w:sz w:val="24"/>
          <w:szCs w:val="24"/>
          <w:lang w:val="en-GB"/>
        </w:rPr>
      </w:pPr>
    </w:p>
    <w:p w:rsidR="00196D8E" w:rsidRPr="003558D8" w:rsidRDefault="00196D8E" w:rsidP="00196D8E">
      <w:pPr>
        <w:jc w:val="both"/>
        <w:rPr>
          <w:rFonts w:asciiTheme="majorHAnsi" w:eastAsiaTheme="minorEastAsia" w:hAnsiTheme="majorHAnsi"/>
          <w:b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ρ</m:t>
          </m:r>
          <m:r>
            <m:rPr>
              <m:sty m:val="bi"/>
            </m:rPr>
            <w:rPr>
              <w:rFonts w:ascii="Cambria" w:eastAsiaTheme="minorEastAsia" w:hAnsi="Cambria"/>
              <w:sz w:val="24"/>
              <w:szCs w:val="24"/>
            </w:rPr>
            <m:t>=</m:t>
          </m:r>
          <m:f>
            <m:fPr>
              <m:ctrlPr>
                <w:rPr>
                  <w:rFonts w:ascii="Cambria" w:eastAsiaTheme="minorEastAsia" w:hAnsi="Cambria"/>
                  <w:b/>
                  <w:i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S Mincho" w:hAnsi="Cambria Math" w:cs="MS Mincho"/>
                  <w:sz w:val="24"/>
                  <w:szCs w:val="24"/>
                  <w:lang w:val="en-GB"/>
                </w:rPr>
                <m:t>2.70</m:t>
              </m:r>
              <m:r>
                <m:rPr>
                  <m:sty m:val="bi"/>
                </m:rPr>
                <w:rPr>
                  <w:rFonts w:ascii="Cambria Math" w:eastAsia="MS Mincho" w:hAnsi="Cambria Math" w:cs="MS Mincho"/>
                  <w:sz w:val="24"/>
                  <w:szCs w:val="24"/>
                  <w:lang w:val="en-GB"/>
                </w:rPr>
                <m:t>P</m:t>
              </m:r>
              <m:sSub>
                <m:sSubPr>
                  <m:ctrlPr>
                    <w:rPr>
                      <w:rFonts w:ascii="Cambria" w:eastAsiaTheme="minorEastAsia" w:hAnsi="Cambria"/>
                      <w:b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Mincho" w:hAnsi="Cambria Math" w:cs="MS Mincho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MS Mincho" w:hAnsi="Cambria Math" w:cs="MS Mincho"/>
                  <w:sz w:val="24"/>
                  <w:szCs w:val="24"/>
                  <w:lang w:val="en-GB"/>
                </w:rPr>
                <m:t>zT</m:t>
              </m:r>
            </m:den>
          </m:f>
        </m:oMath>
      </m:oMathPara>
    </w:p>
    <w:p w:rsidR="004934C8" w:rsidRDefault="00196D8E" w:rsidP="00196D8E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  <w:lang w:val="en-GB"/>
        </w:rPr>
        <w:t xml:space="preserve">Note that density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in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lb</w:t>
      </w:r>
      <w:r w:rsidRPr="00C7271E">
        <w:rPr>
          <w:rFonts w:asciiTheme="majorHAnsi" w:eastAsiaTheme="minorEastAsia" w:hAnsiTheme="majorHAnsi"/>
          <w:sz w:val="24"/>
          <w:szCs w:val="24"/>
          <w:vertAlign w:val="subscript"/>
        </w:rPr>
        <w:t>m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/ft</w:t>
      </w:r>
      <w:r w:rsidRPr="00C7271E">
        <w:rPr>
          <w:rFonts w:asciiTheme="majorHAnsi" w:eastAsiaTheme="minorEastAsia" w:hAnsiTheme="majorHAnsi"/>
          <w:sz w:val="24"/>
          <w:szCs w:val="24"/>
          <w:vertAlign w:val="superscript"/>
        </w:rPr>
        <w:t>3</w:t>
      </w:r>
      <w:r>
        <w:rPr>
          <w:rFonts w:asciiTheme="majorHAnsi" w:eastAsiaTheme="minorEastAsia" w:hAnsiTheme="majorHAnsi"/>
          <w:sz w:val="24"/>
          <w:szCs w:val="24"/>
        </w:rPr>
        <w:t>, T is in degree Rankine and P is in psi.</w:t>
      </w:r>
    </w:p>
    <w:p w:rsidR="00D409B7" w:rsidRDefault="00D409B7" w:rsidP="00196D8E">
      <w:pPr>
        <w:rPr>
          <w:rFonts w:asciiTheme="majorHAnsi" w:eastAsiaTheme="minorEastAsia" w:hAnsiTheme="majorHAnsi"/>
          <w:sz w:val="24"/>
          <w:szCs w:val="24"/>
        </w:rPr>
      </w:pPr>
    </w:p>
    <w:p w:rsidR="00D409B7" w:rsidRPr="00D409B7" w:rsidRDefault="00D409B7" w:rsidP="00D409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D409B7">
        <w:rPr>
          <w:rFonts w:asciiTheme="majorHAnsi" w:hAnsiTheme="majorHAnsi"/>
          <w:sz w:val="28"/>
          <w:szCs w:val="28"/>
        </w:rPr>
        <w:t xml:space="preserve">Bubble Point Pressure, </w:t>
      </w:r>
      <w:proofErr w:type="spellStart"/>
      <w:r w:rsidRPr="00D409B7">
        <w:rPr>
          <w:rFonts w:asciiTheme="majorHAnsi" w:hAnsiTheme="majorHAnsi"/>
          <w:sz w:val="28"/>
          <w:szCs w:val="28"/>
        </w:rPr>
        <w:t>P</w:t>
      </w:r>
      <w:r w:rsidRPr="00D409B7">
        <w:rPr>
          <w:rFonts w:asciiTheme="majorHAnsi" w:hAnsiTheme="majorHAnsi"/>
          <w:sz w:val="28"/>
          <w:szCs w:val="28"/>
          <w:vertAlign w:val="subscript"/>
        </w:rPr>
        <w:t>b</w:t>
      </w:r>
      <w:proofErr w:type="spellEnd"/>
    </w:p>
    <w:p w:rsidR="00D409B7" w:rsidRDefault="00D409B7" w:rsidP="00D409B7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Frequently, it is desired to determine bubble point pressure for an undersaturated reservoir, i.e. at what point will the undersaturated reservoir begin to liberate gas. The correlation below is applicable.</w:t>
      </w:r>
    </w:p>
    <w:p w:rsidR="00D409B7" w:rsidRDefault="00B12076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aj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</w:rPr>
                <m:t>b</m:t>
              </m:r>
            </m:sub>
          </m:sSub>
          <m:r>
            <w:rPr>
              <w:rFonts w:ascii="Cambria" w:eastAsiaTheme="minorEastAsia" w:hAnsi="Cambria"/>
              <w:sz w:val="24"/>
              <w:szCs w:val="24"/>
            </w:rPr>
            <m:t>=</m:t>
          </m:r>
          <m:d>
            <m:dPr>
              <m:ctrlPr>
                <w:rPr>
                  <w:rFonts w:ascii="Cambria" w:eastAsiaTheme="minorEastAsia" w:hAnsi="Cambri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" w:eastAsiaTheme="minorEastAsia" w:hAnsi="Cambria"/>
                  <w:sz w:val="24"/>
                  <w:szCs w:val="24"/>
                </w:rPr>
                <m:t>18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" w:eastAsiaTheme="minorEastAsia" w:hAnsi="Cambr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" w:eastAsiaTheme="minorEastAsia" w:hAnsi="Cambria"/>
                      <w:sz w:val="24"/>
                      <w:szCs w:val="24"/>
                    </w:rPr>
                    <m:t>10</m:t>
                  </m:r>
                </m:e>
                <m:sup>
                  <m:sSub>
                    <m:sSubPr>
                      <m:ctrlPr>
                        <w:rPr>
                          <w:rFonts w:ascii="Cambria" w:eastAsiaTheme="minorEastAsia" w:hAnsi="Cambr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" w:eastAsiaTheme="minorEastAsia" w:hAnsi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" w:eastAsiaTheme="minorEastAsia" w:hAnsi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" w:eastAsiaTheme="minorEastAsia" w:hAnsi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" w:hAnsi="Cambr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" w:eastAsiaTheme="minorEastAsia" w:hAnsi="Cambria"/>
                  <w:sz w:val="24"/>
                  <w:szCs w:val="24"/>
                </w:rPr>
                <m:t>0.83</m:t>
              </m:r>
            </m:sup>
          </m:sSup>
          <m:r>
            <w:rPr>
              <w:rFonts w:ascii="Cambria" w:eastAsiaTheme="minorEastAsia" w:hAnsi="Cambria"/>
              <w:sz w:val="24"/>
              <w:szCs w:val="24"/>
            </w:rPr>
            <m:t>------------2.32</m:t>
          </m:r>
        </m:oMath>
      </m:oMathPara>
    </w:p>
    <w:p w:rsidR="00D409B7" w:rsidRPr="000F7324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" w:eastAsiaTheme="minorEastAsia" w:hAnsi="Cambria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" w:eastAsiaTheme="minorEastAsia" w:hAnsi="Cambria"/>
            <w:sz w:val="24"/>
            <w:szCs w:val="24"/>
          </w:rPr>
          <m:t>=0.00091</m:t>
        </m:r>
        <m:sSub>
          <m:sSubPr>
            <m:ctrlPr>
              <w:rPr>
                <w:rFonts w:ascii="Cambria" w:eastAsiaTheme="minorEastAsia" w:hAnsi="Cambria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" w:eastAsiaTheme="minorEastAsia" w:hAnsi="Cambria"/>
            <w:sz w:val="24"/>
            <w:szCs w:val="24"/>
          </w:rPr>
          <m:t>-0.0125</m:t>
        </m:r>
        <m:sPre>
          <m:sPre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PrePr>
          <m:sub/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API</m:t>
            </m:r>
          </m:e>
        </m:sPre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----------2.33</m:t>
        </m:r>
      </m:oMath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</w:p>
    <w:p w:rsidR="00D409B7" w:rsidRPr="00D409B7" w:rsidRDefault="00B12076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API</m:t>
              </m:r>
            </m:e>
          </m:sPre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" w:hAnsi="Cambria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" w:hAnsi="Cambria"/>
                  <w:sz w:val="24"/>
                  <w:szCs w:val="24"/>
                </w:rPr>
                <m:t>141.5</m:t>
              </m:r>
            </m:num>
            <m:den>
              <m:sSub>
                <m:sSubPr>
                  <m:ctrlPr>
                    <w:rPr>
                      <w:rFonts w:ascii="Cambria" w:hAnsi="Cambr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" w:hAnsi="Cambria"/>
              <w:sz w:val="24"/>
              <w:szCs w:val="24"/>
            </w:rPr>
            <m:t>-131.5</m:t>
          </m:r>
        </m:oMath>
      </m:oMathPara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</w:p>
    <w:p w:rsidR="00D409B7" w:rsidRDefault="00B12076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is the solution gas oil ratio at  or above bubble point pressure.</m:t>
          </m:r>
        </m:oMath>
      </m:oMathPara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b/>
          <w:sz w:val="24"/>
          <w:szCs w:val="24"/>
        </w:rPr>
      </w:pPr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 w:rsidRPr="000756A4">
        <w:rPr>
          <w:rFonts w:asciiTheme="majorHAnsi" w:eastAsiaTheme="minorEastAsia" w:hAnsiTheme="majorHAnsi"/>
          <w:b/>
          <w:sz w:val="24"/>
          <w:szCs w:val="24"/>
        </w:rPr>
        <w:t>Note: T</w:t>
      </w:r>
      <w:r w:rsidRPr="000756A4">
        <w:rPr>
          <w:rFonts w:asciiTheme="majorHAnsi" w:eastAsiaTheme="minorEastAsia" w:hAnsiTheme="majorHAnsi"/>
          <w:b/>
          <w:sz w:val="24"/>
          <w:szCs w:val="24"/>
          <w:vertAlign w:val="subscript"/>
        </w:rPr>
        <w:t>F</w:t>
      </w:r>
      <w:r w:rsidRPr="000756A4">
        <w:rPr>
          <w:rFonts w:asciiTheme="majorHAnsi" w:eastAsiaTheme="minorEastAsia" w:hAnsiTheme="majorHAnsi"/>
          <w:b/>
          <w:sz w:val="24"/>
          <w:szCs w:val="24"/>
        </w:rPr>
        <w:t xml:space="preserve"> is temperature in degree Fahrenheit.</w:t>
      </w:r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</w:p>
    <w:p w:rsidR="00D409B7" w:rsidRPr="00D409B7" w:rsidRDefault="00D409B7" w:rsidP="00D409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D409B7">
        <w:rPr>
          <w:rFonts w:asciiTheme="majorHAnsi" w:hAnsiTheme="majorHAnsi"/>
          <w:sz w:val="28"/>
          <w:szCs w:val="28"/>
        </w:rPr>
        <w:t xml:space="preserve">Solution Gas-Oil Ratio, </w:t>
      </w:r>
      <w:proofErr w:type="spellStart"/>
      <w:r w:rsidRPr="00D409B7">
        <w:rPr>
          <w:rFonts w:asciiTheme="majorHAnsi" w:hAnsiTheme="majorHAnsi"/>
          <w:sz w:val="28"/>
          <w:szCs w:val="28"/>
        </w:rPr>
        <w:t>R</w:t>
      </w:r>
      <w:r w:rsidRPr="00D409B7">
        <w:rPr>
          <w:rFonts w:asciiTheme="majorHAnsi" w:hAnsiTheme="majorHAnsi"/>
          <w:sz w:val="28"/>
          <w:szCs w:val="28"/>
          <w:vertAlign w:val="subscript"/>
        </w:rPr>
        <w:t>s</w:t>
      </w:r>
      <w:proofErr w:type="spellEnd"/>
    </w:p>
    <w:p w:rsidR="00D409B7" w:rsidRDefault="00D409B7" w:rsidP="00D409B7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correlation to calculate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Pr="00F57F19">
        <w:rPr>
          <w:rFonts w:asciiTheme="majorHAnsi" w:hAnsiTheme="majorHAnsi"/>
          <w:sz w:val="24"/>
          <w:szCs w:val="24"/>
          <w:vertAlign w:val="subscript"/>
        </w:rPr>
        <w:t>s</w:t>
      </w:r>
      <w:proofErr w:type="spellEnd"/>
      <w:r>
        <w:rPr>
          <w:rFonts w:asciiTheme="majorHAnsi" w:hAnsiTheme="majorHAnsi"/>
          <w:sz w:val="24"/>
          <w:szCs w:val="24"/>
        </w:rPr>
        <w:t xml:space="preserve"> at pressures below or equal to the bubble point is presented below. There is no need for a correlation to calculate </w:t>
      </w:r>
      <w:proofErr w:type="spellStart"/>
      <w:r>
        <w:rPr>
          <w:rFonts w:asciiTheme="majorHAnsi" w:hAnsiTheme="majorHAnsi"/>
          <w:sz w:val="24"/>
          <w:szCs w:val="24"/>
        </w:rPr>
        <w:t>R</w:t>
      </w:r>
      <w:r w:rsidRPr="0082000A">
        <w:rPr>
          <w:rFonts w:asciiTheme="majorHAnsi" w:hAnsiTheme="majorHAnsi"/>
          <w:sz w:val="24"/>
          <w:szCs w:val="24"/>
          <w:vertAlign w:val="subscript"/>
        </w:rPr>
        <w:t>s</w:t>
      </w:r>
      <w:proofErr w:type="spellEnd"/>
      <w:r>
        <w:rPr>
          <w:rFonts w:asciiTheme="majorHAnsi" w:hAnsiTheme="majorHAnsi"/>
          <w:sz w:val="24"/>
          <w:szCs w:val="24"/>
        </w:rPr>
        <w:t xml:space="preserve"> at pressures above bubble point because </w:t>
      </w:r>
      <w:proofErr w:type="spellStart"/>
      <w:r>
        <w:rPr>
          <w:rFonts w:asciiTheme="majorHAnsi" w:hAnsiTheme="majorHAnsi"/>
          <w:sz w:val="24"/>
          <w:szCs w:val="24"/>
        </w:rPr>
        <w:t>Rs</w:t>
      </w:r>
      <w:proofErr w:type="spellEnd"/>
      <w:r>
        <w:rPr>
          <w:rFonts w:asciiTheme="majorHAnsi" w:hAnsiTheme="majorHAnsi"/>
          <w:sz w:val="24"/>
          <w:szCs w:val="24"/>
        </w:rPr>
        <w:t xml:space="preserve"> is constant at pressures above bubble point down to bubble point pressure.</w:t>
      </w:r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sSup>
            <m:sSupPr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" w:hAnsi="Cambria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" w:eastAsiaTheme="minorEastAsia" w:hAnsi="Cambria"/>
                          <w:sz w:val="24"/>
                          <w:szCs w:val="24"/>
                        </w:rPr>
                        <m:t>18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" w:eastAsiaTheme="minorEastAsia" w:hAnsi="Cambria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" w:eastAsiaTheme="minorEastAsia" w:hAnsi="Cambria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" w:eastAsiaTheme="minorEastAsia" w:hAnsi="Cambr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" w:hAnsi="Cambria"/>
                  <w:sz w:val="24"/>
                  <w:szCs w:val="24"/>
                </w:rPr>
                <m:t>1.204</m:t>
              </m:r>
            </m:sup>
          </m:sSup>
          <m:r>
            <w:rPr>
              <w:rFonts w:ascii="Cambria" w:hAnsi="Cambria"/>
              <w:sz w:val="24"/>
              <w:szCs w:val="24"/>
            </w:rPr>
            <m:t xml:space="preserve"> ------------2.34</m:t>
          </m:r>
        </m:oMath>
      </m:oMathPara>
    </w:p>
    <w:p w:rsidR="00D409B7" w:rsidRDefault="00D409B7" w:rsidP="00D409B7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</w:p>
    <w:p w:rsidR="00D409B7" w:rsidRDefault="00B12076" w:rsidP="00D409B7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" w:eastAsiaTheme="minorEastAsia" w:hAnsi="Cambria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" w:eastAsiaTheme="minorEastAsia" w:hAnsi="Cambria"/>
              <w:sz w:val="24"/>
              <w:szCs w:val="24"/>
            </w:rPr>
            <m:t xml:space="preserve"> </m:t>
          </m:r>
          <m:r>
            <w:rPr>
              <w:rFonts w:ascii="Cambria Math" w:eastAsia="MS Mincho" w:hAnsi="Cambria Math" w:cs="MS Mincho"/>
              <w:sz w:val="24"/>
              <w:szCs w:val="24"/>
            </w:rPr>
            <m:t>is still as defined by equation 2.33</m:t>
          </m:r>
        </m:oMath>
      </m:oMathPara>
    </w:p>
    <w:p w:rsidR="00196D8E" w:rsidRDefault="00196D8E" w:rsidP="00196D8E">
      <w:pPr>
        <w:rPr>
          <w:rFonts w:asciiTheme="majorHAnsi" w:eastAsiaTheme="minorEastAsia" w:hAnsiTheme="majorHAnsi"/>
          <w:sz w:val="24"/>
          <w:szCs w:val="24"/>
        </w:rPr>
      </w:pPr>
    </w:p>
    <w:p w:rsidR="0042497C" w:rsidRDefault="0042497C" w:rsidP="0042497C">
      <w:pPr>
        <w:spacing w:after="0"/>
        <w:jc w:val="both"/>
        <w:rPr>
          <w:rFonts w:asciiTheme="majorHAnsi" w:hAnsiTheme="majorHAnsi"/>
          <w:sz w:val="28"/>
          <w:szCs w:val="28"/>
        </w:rPr>
      </w:pPr>
      <w:bookmarkStart w:id="0" w:name="_GoBack"/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08B606AC" wp14:editId="4A2ABC44">
            <wp:extent cx="4529620" cy="2859932"/>
            <wp:effectExtent l="0" t="0" r="4445" b="0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90" cy="286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2497C" w:rsidRDefault="0042497C" w:rsidP="0042497C">
      <w:pPr>
        <w:spacing w:after="0"/>
        <w:jc w:val="both"/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sz w:val="20"/>
          <w:szCs w:val="20"/>
        </w:rPr>
        <w:t xml:space="preserve">Figure </w:t>
      </w:r>
      <w:r>
        <w:rPr>
          <w:rFonts w:ascii="Monotype Corsiva" w:hAnsi="Monotype Corsiva"/>
          <w:sz w:val="20"/>
          <w:szCs w:val="20"/>
        </w:rPr>
        <w:t>1</w:t>
      </w:r>
      <w:r>
        <w:rPr>
          <w:rFonts w:ascii="Monotype Corsiva" w:hAnsi="Monotype Corsiva"/>
          <w:sz w:val="20"/>
          <w:szCs w:val="20"/>
        </w:rPr>
        <w:t xml:space="preserve">: Variation of </w:t>
      </w:r>
      <w:proofErr w:type="spellStart"/>
      <w:r>
        <w:rPr>
          <w:rFonts w:ascii="Monotype Corsiva" w:hAnsi="Monotype Corsiva"/>
          <w:sz w:val="20"/>
          <w:szCs w:val="20"/>
        </w:rPr>
        <w:t>R</w:t>
      </w:r>
      <w:r w:rsidRPr="009F11FB">
        <w:rPr>
          <w:rFonts w:ascii="Monotype Corsiva" w:hAnsi="Monotype Corsiva"/>
          <w:sz w:val="20"/>
          <w:szCs w:val="20"/>
          <w:vertAlign w:val="subscript"/>
        </w:rPr>
        <w:t>s</w:t>
      </w:r>
      <w:proofErr w:type="spellEnd"/>
      <w:r>
        <w:rPr>
          <w:rFonts w:ascii="Monotype Corsiva" w:hAnsi="Monotype Corsiva"/>
          <w:sz w:val="20"/>
          <w:szCs w:val="20"/>
        </w:rPr>
        <w:t xml:space="preserve"> with Reservoir Pressure.</w:t>
      </w:r>
    </w:p>
    <w:p w:rsidR="0042497C" w:rsidRDefault="0042497C" w:rsidP="00196D8E">
      <w:pPr>
        <w:rPr>
          <w:rFonts w:asciiTheme="majorHAnsi" w:eastAsiaTheme="minorEastAsia" w:hAnsiTheme="majorHAnsi"/>
          <w:sz w:val="24"/>
          <w:szCs w:val="24"/>
        </w:rPr>
      </w:pPr>
    </w:p>
    <w:p w:rsidR="004A2556" w:rsidRDefault="004A2556" w:rsidP="00196D8E">
      <w:pPr>
        <w:rPr>
          <w:rFonts w:asciiTheme="majorHAnsi" w:eastAsiaTheme="minorEastAsia" w:hAnsiTheme="majorHAnsi"/>
          <w:sz w:val="24"/>
          <w:szCs w:val="24"/>
        </w:rPr>
      </w:pPr>
    </w:p>
    <w:p w:rsidR="00196D8E" w:rsidRPr="00196D8E" w:rsidRDefault="00196D8E" w:rsidP="00196D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196D8E">
        <w:rPr>
          <w:rFonts w:asciiTheme="majorHAnsi" w:hAnsiTheme="majorHAnsi"/>
          <w:sz w:val="28"/>
          <w:szCs w:val="28"/>
        </w:rPr>
        <w:t>Oil Formation Volume Factor, B</w:t>
      </w:r>
      <w:r w:rsidRPr="00196D8E">
        <w:rPr>
          <w:rFonts w:asciiTheme="majorHAnsi" w:hAnsiTheme="majorHAnsi"/>
          <w:sz w:val="28"/>
          <w:szCs w:val="28"/>
          <w:vertAlign w:val="subscript"/>
        </w:rPr>
        <w:t>o</w:t>
      </w:r>
    </w:p>
    <w:p w:rsidR="00D409B7" w:rsidRDefault="00196D8E" w:rsidP="00196D8E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Recall that the variation of Bo with pressure is divided into two regimes. See Figure </w:t>
      </w:r>
      <w:r w:rsidR="0042497C">
        <w:rPr>
          <w:rFonts w:asciiTheme="majorHAnsi" w:hAnsiTheme="majorHAnsi"/>
          <w:sz w:val="24"/>
          <w:szCs w:val="24"/>
        </w:rPr>
        <w:t>2</w:t>
      </w:r>
    </w:p>
    <w:p w:rsidR="00196D8E" w:rsidRDefault="00D409B7" w:rsidP="00196D8E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3AF44EB" wp14:editId="15F3AC56">
            <wp:extent cx="4657695" cy="3210127"/>
            <wp:effectExtent l="0" t="0" r="0" b="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79" cy="321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D8E">
        <w:rPr>
          <w:rFonts w:asciiTheme="majorHAnsi" w:hAnsiTheme="majorHAnsi"/>
          <w:sz w:val="24"/>
          <w:szCs w:val="24"/>
        </w:rPr>
        <w:t xml:space="preserve">. </w:t>
      </w:r>
    </w:p>
    <w:p w:rsidR="00D409B7" w:rsidRDefault="00D409B7" w:rsidP="00196D8E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="Monotype Corsiva" w:hAnsi="Monotype Corsiva"/>
          <w:sz w:val="20"/>
          <w:szCs w:val="20"/>
        </w:rPr>
        <w:t>Figure 1: Variation of B</w:t>
      </w:r>
      <w:r w:rsidRPr="0076666B">
        <w:rPr>
          <w:rFonts w:ascii="Monotype Corsiva" w:hAnsi="Monotype Corsiva"/>
          <w:sz w:val="20"/>
          <w:szCs w:val="20"/>
          <w:vertAlign w:val="subscript"/>
        </w:rPr>
        <w:t>o</w:t>
      </w:r>
      <w:r>
        <w:rPr>
          <w:rFonts w:ascii="Monotype Corsiva" w:hAnsi="Monotype Corsiva"/>
          <w:sz w:val="20"/>
          <w:szCs w:val="20"/>
        </w:rPr>
        <w:t xml:space="preserve"> with Reservoir Pressure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D409B7" w:rsidRDefault="00D409B7" w:rsidP="00196D8E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96D8E" w:rsidRDefault="00196D8E" w:rsidP="00196D8E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For pressures below or equal to bubble point, Standing’s correlation for calculating Bo is herein presented:</w:t>
      </w:r>
    </w:p>
    <w:p w:rsidR="00196D8E" w:rsidRDefault="00B12076" w:rsidP="00196D8E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MS Mincho" w:hAnsi="Cambria Math" w:cs="MS Mincho"/>
              <w:sz w:val="24"/>
              <w:szCs w:val="24"/>
            </w:rPr>
            <m:t>=0.9759+0.00012</m:t>
          </m:r>
          <m:sSup>
            <m:sSup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1.2</m:t>
              </m:r>
            </m:sup>
          </m:sSup>
          <m:r>
            <w:rPr>
              <w:rFonts w:ascii="Cambria Math" w:eastAsia="MS Mincho" w:hAnsi="Cambria Math" w:cs="MS Mincho"/>
              <w:sz w:val="24"/>
              <w:szCs w:val="24"/>
            </w:rPr>
            <m:t>------------2.35</m:t>
          </m:r>
        </m:oMath>
      </m:oMathPara>
    </w:p>
    <w:p w:rsidR="00196D8E" w:rsidRPr="00341D5D" w:rsidRDefault="00196D8E" w:rsidP="00196D8E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</w:p>
    <w:p w:rsidR="00196D8E" w:rsidRPr="00341D5D" w:rsidRDefault="00196D8E" w:rsidP="00196D8E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="MS Mincho" w:hAnsi="Cambria Math" w:cs="MS Mincho"/>
              <w:sz w:val="24"/>
              <w:szCs w:val="24"/>
            </w:rPr>
            <m:t xml:space="preserve">Where F= </m:t>
          </m:r>
          <m:sSub>
            <m:sSub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s</m:t>
              </m:r>
            </m:sub>
          </m:sSub>
          <m:sSup>
            <m:sSup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" w:hAnsi="Cambr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" w:hAnsi="Cambr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0.5</m:t>
              </m:r>
            </m:sup>
          </m:sSup>
          <m:r>
            <w:rPr>
              <w:rFonts w:ascii="Cambria Math" w:eastAsia="MS Mincho" w:hAnsi="Cambria Math" w:cs="MS Mincho"/>
              <w:sz w:val="24"/>
              <w:szCs w:val="24"/>
            </w:rPr>
            <m:t>+1.25</m:t>
          </m:r>
          <m:sSub>
            <m:sSubPr>
              <m:ctrlPr>
                <w:rPr>
                  <w:rFonts w:ascii="Cambria" w:eastAsiaTheme="minorEastAsia" w:hAnsi="Cambria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MS Mincho" w:hAnsi="Cambria Math" w:cs="MS Mincho"/>
              <w:sz w:val="24"/>
              <w:szCs w:val="24"/>
            </w:rPr>
            <m:t>------------2.36</m:t>
          </m:r>
        </m:oMath>
      </m:oMathPara>
    </w:p>
    <w:p w:rsidR="00196D8E" w:rsidRDefault="00196D8E" w:rsidP="00196D8E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 w:rsidRPr="000756A4">
        <w:rPr>
          <w:rFonts w:asciiTheme="majorHAnsi" w:eastAsiaTheme="minorEastAsia" w:hAnsiTheme="majorHAnsi"/>
          <w:b/>
          <w:sz w:val="24"/>
          <w:szCs w:val="24"/>
        </w:rPr>
        <w:t>Note: T</w:t>
      </w:r>
      <w:r w:rsidRPr="000756A4">
        <w:rPr>
          <w:rFonts w:asciiTheme="majorHAnsi" w:eastAsiaTheme="minorEastAsia" w:hAnsiTheme="majorHAnsi"/>
          <w:b/>
          <w:sz w:val="24"/>
          <w:szCs w:val="24"/>
          <w:vertAlign w:val="subscript"/>
        </w:rPr>
        <w:t>F</w:t>
      </w:r>
      <w:r w:rsidRPr="000756A4">
        <w:rPr>
          <w:rFonts w:asciiTheme="majorHAnsi" w:eastAsiaTheme="minorEastAsia" w:hAnsiTheme="majorHAnsi"/>
          <w:b/>
          <w:sz w:val="24"/>
          <w:szCs w:val="24"/>
        </w:rPr>
        <w:t xml:space="preserve"> is temperature in degree Fahrenheit.</w:t>
      </w:r>
    </w:p>
    <w:p w:rsidR="00196D8E" w:rsidRDefault="00196D8E" w:rsidP="00196D8E">
      <w:pPr>
        <w:spacing w:after="0"/>
        <w:jc w:val="both"/>
        <w:rPr>
          <w:rFonts w:ascii="Cambria" w:eastAsiaTheme="minorEastAsia" w:hAnsi="Cambria"/>
          <w:i/>
          <w:sz w:val="24"/>
          <w:szCs w:val="24"/>
        </w:rPr>
      </w:pPr>
    </w:p>
    <w:p w:rsidR="00196D8E" w:rsidRDefault="00196D8E" w:rsidP="00196D8E">
      <w:pPr>
        <w:spacing w:after="0"/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For pressure above bubble point, the analytical equation applicable is given as:</w:t>
      </w:r>
    </w:p>
    <w:p w:rsidR="00196D8E" w:rsidRDefault="00196D8E" w:rsidP="00196D8E">
      <w:pPr>
        <w:spacing w:after="0"/>
        <w:jc w:val="both"/>
        <w:rPr>
          <w:rFonts w:ascii="Cambria" w:eastAsiaTheme="minorEastAsia" w:hAnsi="Cambria"/>
          <w:sz w:val="24"/>
          <w:szCs w:val="24"/>
        </w:rPr>
      </w:pPr>
    </w:p>
    <w:p w:rsidR="00196D8E" w:rsidRDefault="00B12076" w:rsidP="00196D8E">
      <w:pPr>
        <w:spacing w:after="0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o</m:t>
              </m:r>
            </m:sub>
          </m:sSub>
          <m:r>
            <w:rPr>
              <w:rFonts w:ascii="Cambria" w:hAnsi="Cambria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exp⁡</m:t>
          </m:r>
          <m:d>
            <m:dPr>
              <m:begChr m:val="["/>
              <m:endChr m:val="]"/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" w:hAnsi="Cambria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" w:hAnsi="Cambria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aj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aj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Theme="majorHAnsi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</m:e>
          </m:d>
          <m:r>
            <w:rPr>
              <w:rFonts w:ascii="Cambria" w:hAnsi="Cambria"/>
              <w:sz w:val="24"/>
              <w:szCs w:val="24"/>
            </w:rPr>
            <m:t>---------------2.37</m:t>
          </m:r>
        </m:oMath>
      </m:oMathPara>
    </w:p>
    <w:p w:rsidR="00196D8E" w:rsidRDefault="00196D8E" w:rsidP="00196D8E">
      <w:pPr>
        <w:spacing w:after="0"/>
        <w:jc w:val="both"/>
        <w:rPr>
          <w:rFonts w:ascii="Cambria" w:eastAsiaTheme="minorEastAsia" w:hAnsi="Cambria"/>
          <w:sz w:val="24"/>
          <w:szCs w:val="24"/>
        </w:rPr>
      </w:pPr>
    </w:p>
    <w:p w:rsidR="00196D8E" w:rsidRPr="004A2556" w:rsidRDefault="00B12076" w:rsidP="00196D8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ob</m:t>
              </m:r>
            </m:sub>
          </m:sSub>
          <m:r>
            <w:rPr>
              <w:rFonts w:ascii="Cambria" w:hAnsi="Cambria"/>
              <w:sz w:val="24"/>
              <w:szCs w:val="24"/>
            </w:rPr>
            <m:t xml:space="preserve"> </m:t>
          </m:r>
          <m:r>
            <w:rPr>
              <w:rFonts w:ascii="Cambria Math" w:eastAsia="MS Mincho" w:hAnsi="Cambria Math" w:cs="MS Mincho"/>
              <w:sz w:val="24"/>
              <w:szCs w:val="24"/>
            </w:rPr>
            <m:t xml:space="preserve">is the </m:t>
          </m:r>
          <m:sSub>
            <m:sSubPr>
              <m:ctrlPr>
                <w:rPr>
                  <w:rFonts w:ascii="Cambria" w:hAnsi="Cambr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" w:hAnsi="Cambr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" w:eastAsiaTheme="minorEastAsia" w:hAnsi="Cambria"/>
              <w:sz w:val="24"/>
              <w:szCs w:val="24"/>
            </w:rPr>
            <m:t>a</m:t>
          </m:r>
          <m:r>
            <w:rPr>
              <w:rFonts w:ascii="Cambria Math" w:eastAsia="MS Mincho" w:hAnsi="Cambria Math" w:cs="MS Mincho"/>
              <w:sz w:val="24"/>
              <w:szCs w:val="24"/>
            </w:rPr>
            <m:t>t bubble point and can be calculated using equation 2.35 and 2.36</m:t>
          </m:r>
        </m:oMath>
      </m:oMathPara>
    </w:p>
    <w:p w:rsidR="004A2556" w:rsidRDefault="004A2556" w:rsidP="00196D8E">
      <w:pPr>
        <w:rPr>
          <w:rFonts w:eastAsiaTheme="minorEastAsia"/>
          <w:sz w:val="24"/>
          <w:szCs w:val="24"/>
        </w:rPr>
      </w:pPr>
    </w:p>
    <w:p w:rsidR="001B4A44" w:rsidRDefault="001B4A44" w:rsidP="00196D8E">
      <w:pPr>
        <w:rPr>
          <w:rFonts w:eastAsiaTheme="minorEastAsia"/>
          <w:sz w:val="24"/>
          <w:szCs w:val="24"/>
        </w:rPr>
      </w:pPr>
    </w:p>
    <w:p w:rsidR="001B4A44" w:rsidRDefault="001B4A44" w:rsidP="00196D8E">
      <w:pPr>
        <w:rPr>
          <w:rFonts w:eastAsiaTheme="minorEastAsia"/>
          <w:sz w:val="24"/>
          <w:szCs w:val="24"/>
        </w:rPr>
      </w:pPr>
    </w:p>
    <w:p w:rsidR="001B4A44" w:rsidRDefault="001B4A44" w:rsidP="00196D8E">
      <w:pPr>
        <w:rPr>
          <w:rFonts w:eastAsiaTheme="minorEastAsia"/>
          <w:sz w:val="24"/>
          <w:szCs w:val="24"/>
        </w:rPr>
      </w:pPr>
    </w:p>
    <w:p w:rsidR="004A2556" w:rsidRPr="00002976" w:rsidRDefault="004A2556" w:rsidP="004A255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Stock Tank Oil Initially In-Place (STOIIP)</w:t>
      </w:r>
    </w:p>
    <w:p w:rsidR="004A2556" w:rsidRDefault="004A2556" w:rsidP="004A2556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Stock Tank Oil Initially In-Place (STOIIP) is computed thus:</w:t>
      </w:r>
    </w:p>
    <w:p w:rsidR="004A2556" w:rsidRDefault="004A2556" w:rsidP="004A2556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A2556" w:rsidRPr="00EA2A17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7758Ah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--------------4.5</m:t>
          </m:r>
        </m:oMath>
      </m:oMathPara>
    </w:p>
    <w:p w:rsidR="004A2556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Where:</w:t>
      </w:r>
    </w:p>
    <w:p w:rsidR="004A2556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STOIIP, N = Stock Tank Oil Initially in Place, STB</w:t>
      </w:r>
    </w:p>
    <w:p w:rsidR="004A2556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Area A = Drainage Area of the Reservoir, in Acres</w:t>
      </w:r>
    </w:p>
    <w:p w:rsidR="004A2556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Thickness h = productive oil zone thickness, in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ft</w:t>
      </w:r>
      <w:proofErr w:type="spellEnd"/>
    </w:p>
    <w:p w:rsidR="004A2556" w:rsidRDefault="004A2556" w:rsidP="004A2556">
      <w:pPr>
        <w:spacing w:after="0"/>
        <w:ind w:left="1418" w:hanging="1418"/>
        <w:jc w:val="both"/>
        <w:rPr>
          <w:rFonts w:asciiTheme="majorHAnsi" w:eastAsiaTheme="minorEastAsia" w:hAnsiTheme="majorHAnsi"/>
          <w:iCs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Porosity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ϕ</m:t>
        </m:r>
      </m:oMath>
      <w:r>
        <w:rPr>
          <w:rFonts w:asciiTheme="majorHAnsi" w:eastAsiaTheme="minorEastAsia" w:hAnsiTheme="majorHAnsi"/>
          <w:iCs/>
          <w:sz w:val="24"/>
          <w:szCs w:val="24"/>
        </w:rPr>
        <w:t xml:space="preserve"> = formation porosity, in fraction – the fraction of the bulk reservoir made up of pore spaces.</w:t>
      </w:r>
    </w:p>
    <w:p w:rsidR="004A2556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Saturation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S</w:t>
      </w:r>
      <w:r w:rsidRPr="00AD04F6">
        <w:rPr>
          <w:rFonts w:asciiTheme="majorHAnsi" w:eastAsiaTheme="minorEastAsia" w:hAnsiTheme="majorHAnsi"/>
          <w:sz w:val="24"/>
          <w:szCs w:val="24"/>
          <w:vertAlign w:val="subscript"/>
        </w:rPr>
        <w:t>wi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= initial water saturation, in fraction</w:t>
      </w:r>
    </w:p>
    <w:p w:rsidR="004A2556" w:rsidRDefault="004A2556" w:rsidP="004A2556">
      <w:pPr>
        <w:spacing w:after="0"/>
        <w:jc w:val="both"/>
        <w:rPr>
          <w:rFonts w:asciiTheme="majorHAnsi" w:eastAsiaTheme="minorEastAsia" w:hAnsiTheme="majorHAnsi"/>
          <w:sz w:val="24"/>
          <w:szCs w:val="24"/>
        </w:rPr>
      </w:pPr>
      <w:proofErr w:type="spellStart"/>
      <w:r>
        <w:rPr>
          <w:rFonts w:asciiTheme="majorHAnsi" w:eastAsiaTheme="minorEastAsia" w:hAnsiTheme="majorHAnsi"/>
          <w:sz w:val="24"/>
          <w:szCs w:val="24"/>
        </w:rPr>
        <w:t>B</w:t>
      </w:r>
      <w:r w:rsidRPr="00AD04F6">
        <w:rPr>
          <w:rFonts w:asciiTheme="majorHAnsi" w:eastAsiaTheme="minorEastAsia" w:hAnsiTheme="majorHAnsi"/>
          <w:sz w:val="24"/>
          <w:szCs w:val="24"/>
          <w:vertAlign w:val="subscript"/>
        </w:rPr>
        <w:t>oi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= Oil Formation Volume Factor at initial reservoir pressure, RB/STB.</w:t>
      </w:r>
    </w:p>
    <w:p w:rsidR="004A2556" w:rsidRPr="00196D8E" w:rsidRDefault="004A2556" w:rsidP="004A2556">
      <w:r>
        <w:rPr>
          <w:rFonts w:asciiTheme="majorHAnsi" w:eastAsiaTheme="minorEastAsia" w:hAnsiTheme="majorHAnsi"/>
          <w:sz w:val="24"/>
          <w:szCs w:val="24"/>
        </w:rPr>
        <w:t>7758 = conversion factor</w:t>
      </w:r>
    </w:p>
    <w:sectPr w:rsidR="004A2556" w:rsidRPr="0019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07.75pt;height:201.75pt" o:bullet="t">
        <v:imagedata r:id="rId1" o:title="Python logo"/>
      </v:shape>
    </w:pict>
  </w:numPicBullet>
  <w:abstractNum w:abstractNumId="0">
    <w:nsid w:val="50C01D74"/>
    <w:multiLevelType w:val="hybridMultilevel"/>
    <w:tmpl w:val="BA827E7C"/>
    <w:lvl w:ilvl="0" w:tplc="0C4E7A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F4F31"/>
    <w:multiLevelType w:val="multilevel"/>
    <w:tmpl w:val="80FCAB8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F105E84"/>
    <w:multiLevelType w:val="multilevel"/>
    <w:tmpl w:val="1EFE4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8E"/>
    <w:rsid w:val="00196D8E"/>
    <w:rsid w:val="001B4A44"/>
    <w:rsid w:val="0042497C"/>
    <w:rsid w:val="004A2556"/>
    <w:rsid w:val="00565655"/>
    <w:rsid w:val="00B12076"/>
    <w:rsid w:val="00B60EB4"/>
    <w:rsid w:val="00D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TTOWG</dc:creator>
  <cp:lastModifiedBy>TTOWG</cp:lastModifiedBy>
  <cp:revision>3</cp:revision>
  <cp:lastPrinted>2021-07-28T17:32:00Z</cp:lastPrinted>
  <dcterms:created xsi:type="dcterms:W3CDTF">2021-07-28T16:56:00Z</dcterms:created>
  <dcterms:modified xsi:type="dcterms:W3CDTF">2021-07-28T18:32:00Z</dcterms:modified>
</cp:coreProperties>
</file>