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b/>
          <w:sz w:val="26"/>
        </w:rPr>
        <w:t>BÁO CÁO TIẾN ĐỘ THỰC NGHIỆM VÀ KẾT QUẢ NGHIÊN CỨU TUẦN</w:t>
      </w:r>
    </w:p>
    <w:p>
      <w:pPr>
        <w:spacing w:before="40" w:after="120"/>
        <w:jc w:val="center"/>
      </w:pPr>
      <w:r>
        <w:rPr>
          <w:rFonts w:ascii="Times New Roman" w:hAnsi="Times New Roman"/>
          <w:b/>
          <w:i/>
          <w:sz w:val="28"/>
        </w:rPr>
        <w:t>Đề tài: Nghiên cứu phương pháp tích hợp VMamba vào mô hình YOLO26-seg trong phân đoạn polyp từ ảnh nội soi đại trực tràng</w:t>
      </w:r>
    </w:p>
    <w:tbl>
      <w:tblPr>
        <w:tblW w:type="auto" w:w="0"/>
        <w:jc w:val="center"/>
        <w:tblLook w:firstColumn="1" w:firstRow="1" w:lastColumn="0" w:lastRow="0" w:noHBand="0" w:noVBand="1" w:val="04A0"/>
      </w:tblPr>
      <w:tblGrid>
        <w:gridCol w:w="4535"/>
        <w:gridCol w:w="4535"/>
      </w:tblGrid>
      <w:tr>
        <w:trPr>
          <w:cantSplit/>
          <w:tblHeader/>
        </w:trPr>
        <w:tc>
          <w:tcPr>
            <w:tcW w:type="dxa" w:w="2551"/>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Mã đề tài:</w:t>
            </w:r>
          </w:p>
        </w:tc>
        <w:tc>
          <w:tcPr>
            <w:tcW w:type="dxa" w:w="6520"/>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CNTT_KLCN182</w:t>
            </w:r>
          </w:p>
        </w:tc>
      </w:tr>
      <w:tr>
        <w:trPr>
          <w:cantSplit/>
        </w:trPr>
        <w:tc>
          <w:tcPr>
            <w:tcW w:type="dxa" w:w="2551"/>
            <w:vAlign w:val="center"/>
            <w:tcMar>
              <w:top w:w="100" w:type="dxa"/>
              <w:bottom w:w="100" w:type="dxa"/>
              <w:left w:w="150" w:type="dxa"/>
              <w:right w:w="150" w:type="dxa"/>
            </w:tcMar>
          </w:tcPr>
          <w:p>
            <w:pPr>
              <w:spacing w:line="276" w:lineRule="auto" w:before="40" w:after="40"/>
              <w:jc w:val="left"/>
            </w:pPr>
            <w:r>
              <w:rPr>
                <w:rFonts w:ascii="Times New Roman" w:hAnsi="Times New Roman"/>
                <w:b/>
                <w:sz w:val="24"/>
              </w:rPr>
              <w:t>Giảng viên Hướng dẫn:</w:t>
            </w:r>
          </w:p>
        </w:tc>
        <w:tc>
          <w:tcPr>
            <w:tcW w:type="dxa" w:w="6520"/>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TS. Phùng Thế Bảo (baopt@huit.edu.vn - 0964.771.122)</w:t>
            </w:r>
          </w:p>
        </w:tc>
      </w:tr>
      <w:tr>
        <w:trPr>
          <w:cantSplit/>
        </w:trPr>
        <w:tc>
          <w:tcPr>
            <w:tcW w:type="dxa" w:w="2551"/>
            <w:vAlign w:val="center"/>
            <w:tcMar>
              <w:top w:w="100" w:type="dxa"/>
              <w:bottom w:w="100" w:type="dxa"/>
              <w:left w:w="150" w:type="dxa"/>
              <w:right w:w="150" w:type="dxa"/>
            </w:tcMar>
          </w:tcPr>
          <w:p>
            <w:pPr>
              <w:spacing w:line="276" w:lineRule="auto" w:before="40" w:after="40"/>
              <w:jc w:val="left"/>
            </w:pPr>
            <w:r>
              <w:rPr>
                <w:rFonts w:ascii="Times New Roman" w:hAnsi="Times New Roman"/>
                <w:b/>
                <w:sz w:val="24"/>
              </w:rPr>
              <w:t>Nhóm sinh viên thực hiện:</w:t>
            </w:r>
          </w:p>
        </w:tc>
        <w:tc>
          <w:tcPr>
            <w:tcW w:type="dxa" w:w="6520"/>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Lê Đức Lương (MSSV: 2001230490) — Phùng Tuấn Huy (MSSV: 2001230312) — Trần Mạnh Toàn (MSSV: 2001230830)</w:t>
            </w:r>
          </w:p>
        </w:tc>
      </w:tr>
      <w:tr>
        <w:trPr>
          <w:cantSplit/>
        </w:trPr>
        <w:tc>
          <w:tcPr>
            <w:tcW w:type="dxa" w:w="2551"/>
            <w:vAlign w:val="center"/>
            <w:tcMar>
              <w:top w:w="100" w:type="dxa"/>
              <w:bottom w:w="100" w:type="dxa"/>
              <w:left w:w="150" w:type="dxa"/>
              <w:right w:w="150" w:type="dxa"/>
            </w:tcMar>
          </w:tcPr>
          <w:p>
            <w:pPr>
              <w:spacing w:line="276" w:lineRule="auto" w:before="40" w:after="40"/>
              <w:jc w:val="left"/>
            </w:pPr>
            <w:r>
              <w:rPr>
                <w:rFonts w:ascii="Times New Roman" w:hAnsi="Times New Roman"/>
                <w:b/>
                <w:sz w:val="24"/>
              </w:rPr>
              <w:t>Đơn vị đào tạo:</w:t>
            </w:r>
          </w:p>
        </w:tc>
        <w:tc>
          <w:tcPr>
            <w:tcW w:type="dxa" w:w="6520"/>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Khoa Công nghệ Thông tin — Trường Đại học Công Thương TP.HCM (HUIT)</w:t>
            </w:r>
          </w:p>
        </w:tc>
      </w:tr>
    </w:tbl>
    <w:p>
      <w:pPr>
        <w:spacing w:before="200" w:after="80"/>
        <w:jc w:val="center"/>
      </w:pPr>
      <w:r>
        <w:rPr>
          <w:rFonts w:ascii="Times New Roman" w:hAnsi="Times New Roman"/>
          <w:b/>
          <w:sz w:val="26"/>
        </w:rPr>
        <w:t>MỤC LỤC TỰ ĐỘNG BÁO CÁO</w:t>
      </w:r>
    </w:p>
    <w:p>
      <w:pPr>
        <w:spacing w:after="80"/>
        <w:jc w:val="center"/>
      </w:pPr>
      <w:r>
        <w:rPr>
          <w:rFonts w:ascii="Times New Roman" w:hAnsi="Times New Roman"/>
          <w:i/>
          <w:sz w:val="22"/>
        </w:rPr>
        <w:t>(Tài liệu đã cấu hình phân cấp Heading 1-3. Nhấn F9 hoặc chuột phải chọn 'Update Field' để hiển thị đầy đủ số trang)</w:t>
      </w:r>
    </w:p>
    <w:p>
      <w:pPr>
        <w:spacing w:after="200"/>
      </w:pPr>
      <w:r>
        <w:fldChar w:fldCharType="begin"/>
        <w:instrText xml:space="preserve">TOC \o "1-3" \h \z \u</w:instrText>
        <w:fldChar w:fldCharType="separate"/>
        <w:fldChar w:fldCharType="end"/>
      </w:r>
    </w:p>
    <w:p>
      <w:pPr>
        <w:pStyle w:val="Heading1"/>
        <w:outlineLvl w:val="0"/>
      </w:pPr>
      <w:r>
        <w:rPr>
          <w:rFonts w:ascii="Times New Roman" w:hAnsi="Times New Roman"/>
          <w:b/>
          <w:sz w:val="26"/>
        </w:rPr>
        <w:t>1. MỤC TIÊU VÀ NHIỆM VỤ BÁO CÁO TIẾN ĐỘ</w:t>
      </w:r>
    </w:p>
    <w:p>
      <w:pPr>
        <w:spacing w:line="300" w:lineRule="auto" w:before="60" w:after="60"/>
        <w:ind w:firstLine="720"/>
        <w:jc w:val="both"/>
      </w:pPr>
      <w:r>
        <w:rPr>
          <w:rFonts w:ascii="Times New Roman" w:hAnsi="Times New Roman"/>
          <w:b w:val="0"/>
          <w:i w:val="0"/>
          <w:sz w:val="26"/>
        </w:rPr>
        <w:t>Báo cáo tiến độ tuần này tập trung giải quyết toàn diện các định hướng chuyên môn trọng tâm đã được thống nhất tại cuộc họp với Giảng viên Hướng dẫn TS. Phùng Thế Bảo, chuyển đổi dứt khoát hướng nghiên cứu từ mô hình thử nghiệm ban đầu (C2TSVMamba - Topology thuần) sang Mô hình Vô địch Đề xuất Cốt lõi của khóa luận: Attention-VMamba Fusion (C2IAVM), cụ thể bao gồm:</w:t>
      </w:r>
    </w:p>
    <w:p>
      <w:pPr>
        <w:spacing w:line="300" w:lineRule="auto" w:before="60" w:after="60"/>
        <w:ind w:firstLine="720"/>
        <w:jc w:val="both"/>
      </w:pPr>
      <w:r>
        <w:rPr>
          <w:rFonts w:ascii="Times New Roman" w:hAnsi="Times New Roman"/>
          <w:b w:val="0"/>
          <w:i w:val="0"/>
          <w:sz w:val="26"/>
        </w:rPr>
        <w:t>1. Chuẩn hóa cấu trúc đánh giá trên tài liệu Word: Thiết lập hệ thống phân cấp mục lục tự động (Heading 1, 2, 3 kết hợp trường mã TOC) tương thích tuyệt đối với Microsoft Word, hệ thống hóa toàn bộ kết quả thực nghiệm định lượng, đồ thị và ma trận nhầm lẫn một cách đồng bộ và chính xác.</w:t>
      </w:r>
    </w:p>
    <w:p>
      <w:pPr>
        <w:spacing w:line="300" w:lineRule="auto" w:before="60" w:after="60"/>
        <w:ind w:firstLine="720"/>
        <w:jc w:val="both"/>
      </w:pPr>
      <w:r>
        <w:rPr>
          <w:rFonts w:ascii="Times New Roman" w:hAnsi="Times New Roman"/>
          <w:b w:val="0"/>
          <w:i w:val="0"/>
          <w:sz w:val="26"/>
        </w:rPr>
        <w:t>2. Xác định vai trò cốt lõi của Attention-VMamba Fusion (C2IAVM): Làm rõ cơ chế kết hợp hiệp đồng giữa Self-Attention (trích xuất ngữ nghĩa toàn cục không khoảng cách, phát hiện dị thường) và Visual Mamba SS2D (quét chọn lọc 4 hướng tuyến tính O(N), mô hình hóa tính liên tục giải phẫu), dùng để 'tô' và phân đoạn chính xác ranh giới khối polyp.</w:t>
      </w:r>
    </w:p>
    <w:p>
      <w:pPr>
        <w:spacing w:line="300" w:lineRule="auto" w:before="60" w:after="60"/>
        <w:ind w:firstLine="720"/>
        <w:jc w:val="both"/>
      </w:pPr>
      <w:r>
        <w:rPr>
          <w:rFonts w:ascii="Times New Roman" w:hAnsi="Times New Roman"/>
          <w:b w:val="0"/>
          <w:i w:val="0"/>
          <w:sz w:val="26"/>
        </w:rPr>
        <w:t>3. Thiết lập hệ thống 2 mô hình thực nghiệm đối đầu: Bao gồm mô hình Đối chứng Baseline phân đoạn YOLO26s-seg nguyên bản và Mô hình đề xuất vô địch C2IAVM (Cross-Stage Attention-VMamba Fusion tích hợp tại Tầng 10).</w:t>
      </w:r>
    </w:p>
    <w:p>
      <w:pPr>
        <w:spacing w:line="300" w:lineRule="auto" w:before="60" w:after="60"/>
        <w:ind w:firstLine="720"/>
        <w:jc w:val="both"/>
      </w:pPr>
      <w:r>
        <w:rPr>
          <w:rFonts w:ascii="Times New Roman" w:hAnsi="Times New Roman"/>
          <w:b w:val="0"/>
          <w:i w:val="0"/>
          <w:sz w:val="26"/>
        </w:rPr>
        <w:t>4. Kiểm định tính ổn định qua 6 Seed (Seed Robustness): Huấn luyện lặp lại độc lập qua 6 seed ngẫu nhiên (s0 đến s5) trên bộ dữ liệu Kvasir-SEG (100 epoch, batch=8, imgsz=640) nhằm loại bỏ hoàn toàn yếu tố may rủi, đo lường độ lệch chuẩn (±1σ), khoảng cực trị [min, max], tỷ lệ thắng trực diện và hệ số co hẹp phương sai (F-test).</w:t>
      </w:r>
    </w:p>
    <w:p>
      <w:pPr>
        <w:spacing w:line="300" w:lineRule="auto" w:before="60" w:after="60"/>
        <w:ind w:firstLine="720"/>
        <w:jc w:val="both"/>
      </w:pPr>
      <w:r>
        <w:rPr>
          <w:rFonts w:ascii="Times New Roman" w:hAnsi="Times New Roman"/>
          <w:b w:val="0"/>
          <w:i w:val="0"/>
          <w:sz w:val="26"/>
        </w:rPr>
        <w:t>5. Phân tích ma trận nhầm lẫn lâm sàng và chi phí tính toán: Định lượng chi tiết tỷ lệ phát hiện đúng (True Positive), tỷ lệ bỏ sót tổn thương nguy hiểm (False Negative) trên tập kiểm định 127 polyp, đồng thời đo lường trễ suy luận đầu-cuối chứng minh khả năng ứng dụng thực tế thời gian thực (&gt;30 FPS) trong nội soi can thiệp.</w:t>
      </w:r>
    </w:p>
    <w:p>
      <w:pPr>
        <w:pStyle w:val="Heading1"/>
        <w:outlineLvl w:val="0"/>
      </w:pPr>
      <w:r>
        <w:rPr>
          <w:rFonts w:ascii="Times New Roman" w:hAnsi="Times New Roman"/>
          <w:b/>
          <w:sz w:val="26"/>
        </w:rPr>
        <w:t>2. CẤU TRÚC MÔ HÌNH VÀ CƠ CHẾ TÍCH HỢP C2IAVM TẠI TẦNG 10</w:t>
      </w:r>
    </w:p>
    <w:p>
      <w:pPr>
        <w:pStyle w:val="Heading2"/>
        <w:outlineLvl w:val="1"/>
      </w:pPr>
      <w:r>
        <w:rPr>
          <w:rFonts w:ascii="Times New Roman" w:hAnsi="Times New Roman"/>
          <w:b/>
          <w:sz w:val="26"/>
        </w:rPr>
        <w:t>2.1. Động lực học thuật và Giới hạn của các hướng nghiên cứu tiền nhiệm</w:t>
      </w:r>
    </w:p>
    <w:p>
      <w:pPr>
        <w:spacing w:line="300" w:lineRule="auto" w:before="60" w:after="60"/>
        <w:ind w:firstLine="720"/>
        <w:jc w:val="both"/>
      </w:pPr>
      <w:r>
        <w:rPr>
          <w:rFonts w:ascii="Times New Roman" w:hAnsi="Times New Roman"/>
          <w:b w:val="0"/>
          <w:i w:val="0"/>
          <w:sz w:val="26"/>
        </w:rPr>
        <w:t>Trong quá trình nghiên cứu, nhóm đã thực hiện khảo sát toàn diện 4 hướng tích hợp Visual Mamba vào YOLO26s-seg tại đỉnh Backbone Layer 10 (P5/32, kích thước 20x20, 512 channels) và rút ra những phát hiện khoa học mang tính bước ngoặt:</w:t>
      </w:r>
    </w:p>
    <w:p>
      <w:pPr>
        <w:spacing w:line="300" w:lineRule="auto" w:before="60" w:after="60"/>
        <w:ind w:firstLine="720"/>
        <w:jc w:val="both"/>
      </w:pPr>
      <w:r>
        <w:rPr>
          <w:rFonts w:ascii="Times New Roman" w:hAnsi="Times New Roman"/>
          <w:b w:val="0"/>
          <w:i w:val="0"/>
          <w:sz w:val="26"/>
        </w:rPr>
        <w:t>• Hướng 1 - C2TSVMamba (Topology-Shape-aware VMamba): Sử dụng toán tử đạo hàm Sobel hình thái học (1x5 và 5x1) kết hợp cổng điều biến đơn hướng cho VMamba. Mặc dù giúp giảm sai số Seg Loss -2.49% và xóa sạch lỗi thủng mặt nạ do lóa sáng, song việc ép buộc một 'Thiên kiến quy nạp cứng' (Rigid Inductive Bias) tại tầng sâu P5 đã gây ra hiện tượng 'Co hẹp biên quá mức' (Boundary Overshrinking), khiến Độ nhạy (Recall) sụt giảm nghiêm trọng xuống 84.93% (bỏ sót tới 19.1 / 127 polyp).</w:t>
      </w:r>
    </w:p>
    <w:p>
      <w:pPr>
        <w:spacing w:line="300" w:lineRule="auto" w:before="60" w:after="60"/>
        <w:ind w:firstLine="720"/>
        <w:jc w:val="both"/>
      </w:pPr>
      <w:r>
        <w:rPr>
          <w:rFonts w:ascii="Times New Roman" w:hAnsi="Times New Roman"/>
          <w:b w:val="0"/>
          <w:i w:val="0"/>
          <w:sz w:val="26"/>
        </w:rPr>
        <w:t>• Hướng 2 - P5_Attention_VMamba: Đặt song song Self-Attention và VMamba nhưng chỉ ghép nối tĩnh thô sơ bằng phép Concat (1x1 Conv). Do thiếu sự chia sẻ thông tin, hai luồng gradient đối nghịch triệt tiêu lẫn nhau, làm Mask Precision tụt sâu xuống 90.56% (p=0.0023) và Mask mAP chỉ đạt 0.7186.</w:t>
      </w:r>
    </w:p>
    <w:p>
      <w:pPr>
        <w:spacing w:line="300" w:lineRule="auto" w:before="60" w:after="60"/>
        <w:ind w:firstLine="720"/>
        <w:jc w:val="both"/>
      </w:pPr>
      <w:r>
        <w:rPr>
          <w:rFonts w:ascii="Times New Roman" w:hAnsi="Times New Roman"/>
          <w:b w:val="0"/>
          <w:i w:val="0"/>
          <w:sz w:val="26"/>
        </w:rPr>
        <w:t>• Hướng 3 - ITSMamba: Đã bước đầu giải cứu thành công Recall lên 88.35% nhờ cơ chế tương tác hai chiều chéo với nhánh Topology, đạt độ ổn định phương sai kỷ lục (F = 9.84x), nhưng trần hiệu năng mAP bị chặn lại ở mức 0.7251 do vẫn chịu ràng buộc của bộ lọc Sobel thủ công.</w:t>
      </w:r>
    </w:p>
    <w:p>
      <w:pPr>
        <w:spacing w:line="300" w:lineRule="auto" w:before="60" w:after="60"/>
        <w:ind w:firstLine="720"/>
        <w:jc w:val="both"/>
      </w:pPr>
      <w:r>
        <w:rPr>
          <w:rFonts w:ascii="Times New Roman" w:hAnsi="Times New Roman"/>
          <w:b w:val="0"/>
          <w:i w:val="0"/>
          <w:sz w:val="26"/>
        </w:rPr>
        <w:t>Chính vì vậy, Mô hình Hướng 4 - C2IAVM (Attention-VMamba Fusion) ra đời nhằm kết hợp hoàn hảo hai nguyên lý học máy bù trừ: Attention phụ trách ngữ nghĩa toàn cục và VMamba phụ trách cấu trúc liên tục, tạo nên mô hình tối ưu tuyệt đối toàn đề tài.</w:t>
      </w:r>
    </w:p>
    <w:p>
      <w:pPr>
        <w:pStyle w:val="Heading2"/>
        <w:outlineLvl w:val="1"/>
      </w:pPr>
      <w:r>
        <w:rPr>
          <w:rFonts w:ascii="Times New Roman" w:hAnsi="Times New Roman"/>
          <w:b/>
          <w:sz w:val="26"/>
        </w:rPr>
        <w:t>2.2. Kiến trúc khối Attention-VMamba Fusion (C2IAVM) tại Layer 10</w:t>
      </w:r>
    </w:p>
    <w:p>
      <w:pPr>
        <w:spacing w:line="300" w:lineRule="auto" w:before="60" w:after="60"/>
        <w:ind w:firstLine="720"/>
        <w:jc w:val="both"/>
      </w:pPr>
      <w:r>
        <w:rPr>
          <w:rFonts w:ascii="Times New Roman" w:hAnsi="Times New Roman"/>
          <w:b w:val="0"/>
          <w:i w:val="0"/>
          <w:sz w:val="26"/>
        </w:rPr>
        <w:t>Khối C2IAVM (Cross-Stage Attention-VMamba Fusion) được tích hợp tại Tầng 10 (Layer 10), thay thế trực tiếp khối C2PSA nguyên bản của YOLO26s-seg. Đây là vị trí chiến lược tiếp nhận bản đồ đặc trưng P5 đa vĩ mô (kích thước B x 512 x 20 x 20) ngay sau khối SPPF của Backbone trước khi truyền sang mạng cổ FPN-PAN. Kiến trúc khối bao gồm hai nhánh nơ-ron song song đẳng cấp:</w:t>
      </w:r>
    </w:p>
    <w:p>
      <w:pPr>
        <w:spacing w:line="300" w:lineRule="auto" w:before="60" w:after="60"/>
        <w:ind w:firstLine="720"/>
        <w:jc w:val="both"/>
      </w:pPr>
      <w:r>
        <w:rPr>
          <w:rFonts w:ascii="Times New Roman" w:hAnsi="Times New Roman"/>
          <w:b w:val="0"/>
          <w:i w:val="0"/>
          <w:sz w:val="26"/>
        </w:rPr>
        <w:t>1. Nhánh Multi-Head Self-Attention (F_A): Bắt giữ các mối tương quan ngữ nghĩa không phụ thuộc khoảng cách hình học, cực kỳ nhạy bén trong việc phát hiện vị trí bất thường của khối polyp trên toàn khung hình nội soi.</w:t>
      </w:r>
    </w:p>
    <w:p>
      <w:pPr>
        <w:spacing w:line="300" w:lineRule="auto" w:before="60" w:after="60"/>
        <w:ind w:firstLine="720"/>
        <w:jc w:val="both"/>
      </w:pPr>
      <w:r>
        <w:rPr>
          <w:rFonts w:ascii="Times New Roman" w:hAnsi="Times New Roman"/>
          <w:b w:val="0"/>
          <w:i w:val="0"/>
          <w:sz w:val="26"/>
        </w:rPr>
        <w:t>2. Nhánh Visual Mamba SS2D (F_M): Sử dụng toán tử Quét chọn lọc 2D 4 hướng không gian (trên-dưới, dưới-trên, trái-phải, phải-trái) với độ phức tạp tính toán tuyến tính O(N). Nhánh này mô hình hóa tính liên tục giải phẫu của các lớp niêm mạc đại tràng, duy trì sự gắn kết hình thái học của khối u.</w:t>
      </w:r>
    </w:p>
    <w:p>
      <w:pPr>
        <w:pStyle w:val="Heading2"/>
        <w:outlineLvl w:val="1"/>
      </w:pPr>
      <w:r>
        <w:rPr>
          <w:rFonts w:ascii="Times New Roman" w:hAnsi="Times New Roman"/>
          <w:b/>
          <w:sz w:val="26"/>
        </w:rPr>
        <w:t>2.3. Cơ chế tương tác hai chiều chéo (Bidirectional Cross-Attention Interaction)</w:t>
      </w:r>
    </w:p>
    <w:p>
      <w:pPr>
        <w:spacing w:line="300" w:lineRule="auto" w:before="60" w:after="60"/>
        <w:ind w:firstLine="720"/>
        <w:jc w:val="both"/>
      </w:pPr>
      <w:r>
        <w:rPr>
          <w:rFonts w:ascii="Times New Roman" w:hAnsi="Times New Roman"/>
          <w:b w:val="0"/>
          <w:i w:val="0"/>
          <w:sz w:val="26"/>
        </w:rPr>
        <w:t>Điểm đột phá cốt lõi của C2IAVM nằm ở cơ chế trao đổi đặc trưng hai chiều chéo thông qua các cổng điều biến vi phân (Bidirectional Reciprocal Gates):</w:t>
      </w:r>
    </w:p>
    <w:p>
      <w:pPr>
        <w:spacing w:line="300" w:lineRule="auto" w:before="60" w:after="60"/>
        <w:ind w:firstLine="720"/>
        <w:jc w:val="both"/>
      </w:pPr>
      <w:r>
        <w:rPr>
          <w:rFonts w:ascii="Times New Roman" w:hAnsi="Times New Roman"/>
          <w:b w:val="0"/>
          <w:i w:val="0"/>
          <w:sz w:val="26"/>
        </w:rPr>
        <w:t>• Cổng dẫn đường Attention -&gt; VMamba (G_M): Nhánh Attention tính toán bản đồ kích hoạt không gian và sinh ra cổng G_M = Sigmoid(DWConv(Conv(F_A))). Cổng này đóng vai trò như 'hoa tiêu', chỉ thị cho nhánh VMamba biết tọa độ chính xác của vùng nghi ngờ tổn thương để tập trung quét sâu trạng thái ẩn SSM.</w:t>
      </w:r>
    </w:p>
    <w:p>
      <w:pPr>
        <w:spacing w:line="300" w:lineRule="auto" w:before="60" w:after="60"/>
        <w:ind w:firstLine="720"/>
        <w:jc w:val="both"/>
      </w:pPr>
      <w:r>
        <w:rPr>
          <w:rFonts w:ascii="Times New Roman" w:hAnsi="Times New Roman"/>
          <w:b w:val="0"/>
          <w:i w:val="0"/>
          <w:sz w:val="26"/>
        </w:rPr>
        <w:t>• Cổng liên tục giải phẫu VMamba -&gt; Attention (G_A): Nhánh VMamba trích xuất tính liên tục không gian và sinh ra cổng phản hồi G_A = Sigmoid(DWConv(Conv(F_M))). Cổng này phản hồi ngược lại cho Self-Attention, giúp cơ chế chú ý lọc bỏ các đốm lóa sáng giả mạo do ánh đèn nội soi phản chiếu trên chất nhầy niêm mạc.</w:t>
      </w:r>
    </w:p>
    <w:p>
      <w:pPr>
        <w:spacing w:line="300" w:lineRule="auto" w:before="60" w:after="60"/>
        <w:ind w:firstLine="720"/>
        <w:jc w:val="both"/>
      </w:pPr>
      <w:r>
        <w:rPr>
          <w:rFonts w:ascii="Times New Roman" w:hAnsi="Times New Roman"/>
          <w:b w:val="0"/>
          <w:i w:val="0"/>
          <w:sz w:val="26"/>
        </w:rPr>
        <w:t>• Trao đổi đặc trưng chéo: F_A' = F_A · (1 + G_A) + DWConv(G_A · F_M) và F_M' = F_M · (1 + G_M) + DWConv(G_M · F_A). Sau đó, hai dòng đặc trưng đã được làm giàu hiệp đồng được tổng hợp qua một lớp tích chập chuẩn hóa 1x1 Conv, đảm bảo dòng chảy gradient diễn ra thông suốt.</w:t>
      </w:r>
    </w:p>
    <w:p>
      <w:pPr>
        <w:pStyle w:val="Heading2"/>
        <w:outlineLvl w:val="1"/>
      </w:pPr>
      <w:r>
        <w:rPr>
          <w:rFonts w:ascii="Times New Roman" w:hAnsi="Times New Roman"/>
          <w:b/>
          <w:sz w:val="26"/>
        </w:rPr>
        <w:t>2.4. Tối ưu hóa bộ nhớ với lớp vi phân giải tích SelectiveScanAutograd</w:t>
      </w:r>
    </w:p>
    <w:p>
      <w:pPr>
        <w:spacing w:line="300" w:lineRule="auto" w:before="60" w:after="60"/>
        <w:ind w:firstLine="720"/>
        <w:jc w:val="both"/>
      </w:pPr>
      <w:r>
        <w:rPr>
          <w:rFonts w:ascii="Times New Roman" w:hAnsi="Times New Roman"/>
          <w:b w:val="0"/>
          <w:i w:val="0"/>
          <w:sz w:val="26"/>
        </w:rPr>
        <w:t>Nhằm giải quyết triệt để rào cản tràn bộ nhớ đồ họa (OOM) trên GPU tầm trung như NVIDIA Tesla T4 (16GB VRAM), C2IAVM tích hợp lớp vi phân giải tích tùy biến SelectiveScanAutograd (Custom Adjoint Backward Function). Thay vì lưu trữ toàn bộ các trạng thái ẩn trung gian của 4 hướng quét trong quá trình truyền xuôi (Forward Pass), giải thuật thực hiện tính toán lại đạo hàm giải tích trong quá trình truyền ngược (Backward Pass). Giải pháp này giúp cắt giảm 45% lượng bộ nhớ đệm đồ họa, giữ mức VRAM tiêu thụ ở mức 7.19 GB tại batch=8, rút ngắn thời gian huấn luyện xuống chỉ còn 3.05 giờ/seed.</w:t>
      </w:r>
    </w:p>
    <w:p>
      <w:pPr>
        <w:pStyle w:val="Heading2"/>
        <w:outlineLvl w:val="1"/>
      </w:pPr>
      <w:r>
        <w:rPr>
          <w:rFonts w:ascii="Times New Roman" w:hAnsi="Times New Roman"/>
          <w:b/>
          <w:sz w:val="26"/>
        </w:rPr>
        <w:t>2.5. Bộ dữ liệu Kvasir-SEG và Quy trình tiền xử lý, cấu hình siêu tham số</w:t>
      </w:r>
    </w:p>
    <w:p>
      <w:pPr>
        <w:spacing w:line="300" w:lineRule="auto" w:before="60" w:after="60"/>
        <w:ind w:firstLine="720"/>
        <w:jc w:val="both"/>
      </w:pPr>
      <w:r>
        <w:rPr>
          <w:rFonts w:ascii="Times New Roman" w:hAnsi="Times New Roman"/>
          <w:b w:val="0"/>
          <w:i w:val="0"/>
          <w:sz w:val="26"/>
        </w:rPr>
        <w:t>Thực nghiệm được đánh giá trên bộ dữ liệu chuẩn quốc tế Kvasir-SEG gồm 1,000 ảnh nội soi đại trực tràng có độ phân giải từ 720x576 đến 1920x1072. Dữ liệu được phân chia ngẫu nhiên thành 880 ảnh huấn luyện và 120 ảnh kiểm định độc lập (chứa chính xác 127 tổn thương polyp).</w:t>
      </w:r>
    </w:p>
    <w:p>
      <w:pPr>
        <w:keepNext/>
        <w:spacing w:before="120" w:after="40"/>
        <w:jc w:val="both"/>
      </w:pPr>
      <w:r>
        <w:rPr>
          <w:rFonts w:ascii="Times New Roman" w:hAnsi="Times New Roman"/>
          <w:b/>
          <w:i/>
          <w:sz w:val="24"/>
        </w:rPr>
        <w:t>Bảng 2.1: Thống kê phân chia tập dữ liệu Kvasir-SEG trong thực nghiệm</w:t>
      </w:r>
    </w:p>
    <w:tbl>
      <w:tblPr>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Tập dữ liệu</w:t>
            </w:r>
          </w:p>
        </w:tc>
        <w:tc>
          <w:tcPr>
            <w:tcW w:type="dxa" w:w="1512"/>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Số lượng ảnh</w:t>
            </w:r>
          </w:p>
        </w:tc>
        <w:tc>
          <w:tcPr>
            <w:tcW w:type="dxa" w:w="1512"/>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Tỷ lệ (%)</w:t>
            </w:r>
          </w:p>
        </w:tc>
        <w:tc>
          <w:tcPr>
            <w:tcW w:type="dxa" w:w="1512"/>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Số lượng polyp</w:t>
            </w:r>
          </w:p>
        </w:tc>
        <w:tc>
          <w:tcPr>
            <w:tcW w:type="dxa" w:w="1512"/>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Đặc điểm hình thái</w:t>
            </w:r>
          </w:p>
        </w:tc>
        <w:tc>
          <w:tcPr>
            <w:tcW w:type="dxa" w:w="1512"/>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Mục đích sử dụng</w:t>
            </w:r>
          </w:p>
        </w:tc>
      </w:tr>
      <w:tr>
        <w:trPr>
          <w:cantSplit/>
        </w:trPr>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Tập huấn luyện (Train)</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880 ảnh</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88.0%</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928 polyp</w:t>
            </w:r>
          </w:p>
        </w:tc>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Đa dạng kích thước, có nhiễu</w:t>
            </w:r>
          </w:p>
        </w:tc>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Học trọng số mạng nơ-ron</w:t>
            </w:r>
          </w:p>
        </w:tc>
      </w:tr>
      <w:tr>
        <w:trPr>
          <w:cantSplit/>
        </w:trPr>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Tập kiểm định (Val)</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120 ảnh</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12.0%</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127 polyp</w:t>
            </w:r>
          </w:p>
        </w:tc>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Gồm polyp phẳng, cuống, lóa</w:t>
            </w:r>
          </w:p>
        </w:tc>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Đánh giá Seed Robustness</w:t>
            </w:r>
          </w:p>
        </w:tc>
      </w:tr>
      <w:tr>
        <w:trPr>
          <w:cantSplit/>
        </w:trPr>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Toàn bộ tập (Total)</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1,000 ảnh</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100.0%</w:t>
            </w:r>
          </w:p>
        </w:tc>
        <w:tc>
          <w:tcPr>
            <w:tcW w:type="dxa" w:w="1512"/>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1,055 polyp</w:t>
            </w:r>
          </w:p>
        </w:tc>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Chuẩn hóa định dạng YOLO</w:t>
            </w:r>
          </w:p>
        </w:tc>
        <w:tc>
          <w:tcPr>
            <w:tcW w:type="dxa" w:w="1512"/>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Kiểm thử mô hình tổng thể</w:t>
            </w:r>
          </w:p>
        </w:tc>
      </w:tr>
    </w:tbl>
    <w:p>
      <w:pPr>
        <w:spacing w:line="300" w:lineRule="auto" w:before="60" w:after="60"/>
        <w:ind w:firstLine="720"/>
        <w:jc w:val="both"/>
      </w:pPr>
      <w:r>
        <w:rPr>
          <w:rFonts w:ascii="Times New Roman" w:hAnsi="Times New Roman"/>
          <w:b w:val="0"/>
          <w:i w:val="0"/>
          <w:sz w:val="26"/>
        </w:rPr>
        <w:t>Quy trình tiền xử lý tuân thủ nghiêm ngặt chuẩn y tế: Letterbox Resize về 640x640 giữ nguyên tỷ lệ khung hình, chuẩn hóa giá trị điểm ảnh Pixel Normalization [0, 1], làm giàu dữ liệu với Mosaic Augmentation (đóng ở 10 epoch cuối), Random Flip và Random Scale. Cấu hình siêu tham số khóa tất định được áp dụng đồng bộ 100% cho cả Baseline và C2IAVM:</w:t>
      </w:r>
    </w:p>
    <w:p>
      <w:pPr>
        <w:keepNext/>
        <w:spacing w:before="120" w:after="40"/>
        <w:jc w:val="both"/>
      </w:pPr>
      <w:r>
        <w:rPr>
          <w:rFonts w:ascii="Times New Roman" w:hAnsi="Times New Roman"/>
          <w:b/>
          <w:i/>
          <w:sz w:val="24"/>
        </w:rPr>
        <w:t>Bảng 2.2: Cấu hình siêu tham số huấn luyện đồng bộ cho Baseline và C2IAVM</w:t>
      </w:r>
    </w:p>
    <w:tbl>
      <w:tblPr>
        <w:tblW w:type="auto" w:w="0"/>
        <w:jc w:val="center"/>
        <w:tblLook w:firstColumn="1" w:firstRow="1" w:lastColumn="0" w:lastRow="0" w:noHBand="0" w:noVBand="1" w:val="04A0"/>
      </w:tblPr>
      <w:tblGrid>
        <w:gridCol w:w="2268"/>
        <w:gridCol w:w="2268"/>
        <w:gridCol w:w="2268"/>
        <w:gridCol w:w="2268"/>
      </w:tblGrid>
      <w:tr>
        <w:trPr>
          <w:cantSplit/>
          <w:tblHeader/>
        </w:trPr>
        <w:tc>
          <w:tcPr>
            <w:tcW w:type="dxa" w:w="2268"/>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Nhóm tham số</w:t>
            </w:r>
          </w:p>
        </w:tc>
        <w:tc>
          <w:tcPr>
            <w:tcW w:type="dxa" w:w="2268"/>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Tên siêu tham số</w:t>
            </w:r>
          </w:p>
        </w:tc>
        <w:tc>
          <w:tcPr>
            <w:tcW w:type="dxa" w:w="2268"/>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Giá trị thiết lập</w:t>
            </w:r>
          </w:p>
        </w:tc>
        <w:tc>
          <w:tcPr>
            <w:tcW w:type="dxa" w:w="2268"/>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Mục đích kỹ thuật &amp; Ý nghĩa</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Môi trường</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Nền tảng / Phần cứng</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Kaggle GPU Cloud (Tesla T4 16GB)</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Đảm bảo tính độc lập phần cứng</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Dữ liệu</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Kích thước ảnh vào (imgsz)</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640 × 640</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Chuẩn hóa độ phân giải video nội soi</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Dữ liệu</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Kích thước batch</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batch = 8</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Cân bằng phương sai gradient và VRAM</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Tối ưu</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Bộ tối ưu hóa</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optimizer = 'AdamW'</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Tối ưu trọng số phi tuyến, hạn chế phân kỳ</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Tối ưu</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Tốc độ học ban đầu (lr0)</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0.001</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Giá trị chuẩn hóa tối ưu cho AdamW</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Tối ưu</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Lịch trình học (lrf / warmup)</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lrf = 0.01 / warmup = 5.0 epochs</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Làm nóng ổn định trọng số mới tầng 10</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Hội tụ</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Số epoch huấn luyện</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100 (patience = 100)</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Đảm bảo hội tụ sâu về nghiệm tối ưu</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Tính toán</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Độ chính xác dấu phẩy động</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amp = False (FP32 toàn diện)</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Loại bỏ sai số làm tròn số học</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Hàm phạt</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Trọng số Box / Cls / DFL</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box: 7.5, cls: 0.5, dfl: 1.5</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Ưu tiên độ chính xác định vị và biên</w:t>
            </w:r>
          </w:p>
        </w:tc>
      </w:tr>
      <w:tr>
        <w:trPr>
          <w:cantSplit/>
        </w:trPr>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Chiến lược</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Đóng Mosaic (close_mosaic)</w:t>
            </w:r>
          </w:p>
        </w:tc>
        <w:tc>
          <w:tcPr>
            <w:tcW w:type="dxa" w:w="2268"/>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10 epochs</w:t>
            </w:r>
          </w:p>
        </w:tc>
        <w:tc>
          <w:tcPr>
            <w:tcW w:type="dxa" w:w="2268"/>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10 epoch cuối tinh chỉnh trên ảnh giải phẫu thực</w:t>
            </w:r>
          </w:p>
        </w:tc>
      </w:tr>
    </w:tbl>
    <w:p>
      <w:pPr>
        <w:pStyle w:val="Heading1"/>
        <w:outlineLvl w:val="0"/>
      </w:pPr>
      <w:r>
        <w:rPr>
          <w:rFonts w:ascii="Times New Roman" w:hAnsi="Times New Roman"/>
          <w:b/>
          <w:sz w:val="26"/>
        </w:rPr>
        <w:t>3. KẾT QUẢ ĐỊNH LƯỢNG ĐỐI CHỨNG QUA 6 SEED (SEED ROBUSTNESS)</w:t>
      </w:r>
    </w:p>
    <w:p>
      <w:pPr>
        <w:spacing w:line="300" w:lineRule="auto" w:before="60" w:after="60"/>
        <w:ind w:firstLine="720"/>
        <w:jc w:val="both"/>
      </w:pPr>
      <w:r>
        <w:rPr>
          <w:rFonts w:ascii="Times New Roman" w:hAnsi="Times New Roman"/>
          <w:b w:val="0"/>
          <w:i w:val="0"/>
          <w:sz w:val="26"/>
        </w:rPr>
        <w:t>Toàn bộ 6 lượt huấn luyện độc lập qua 6 seed (s0 đến s5) của cả hai mô hình đã hoàn thành 100 epoch với cùng một điều kiện phần cứng và dữ liệu. Các chỉ số được trích xuất tại epoch đạt Best Mask mAP@50-95 từ tệp results.csv gốc.</w:t>
      </w:r>
    </w:p>
    <w:p>
      <w:pPr>
        <w:pStyle w:val="Heading2"/>
        <w:outlineLvl w:val="1"/>
      </w:pPr>
      <w:r>
        <w:rPr>
          <w:rFonts w:ascii="Times New Roman" w:hAnsi="Times New Roman"/>
          <w:b/>
          <w:sz w:val="26"/>
        </w:rPr>
        <w:t>3.1. Bảng so sánh tổng hợp chỉ số định lượng (Mean ± 1σ, Min, Max, Delta Δ)</w:t>
      </w:r>
    </w:p>
    <w:p>
      <w:pPr>
        <w:keepNext/>
        <w:spacing w:before="120" w:after="40"/>
        <w:jc w:val="both"/>
      </w:pPr>
      <w:r>
        <w:rPr>
          <w:rFonts w:ascii="Times New Roman" w:hAnsi="Times New Roman"/>
          <w:b/>
          <w:i/>
          <w:sz w:val="24"/>
        </w:rPr>
        <w:t>Bảng 1: Bảng so sánh tổng hợp giá trị trung bình 6 seed (s0 - s5) giữa Baseline và C2IAVM</w:t>
      </w:r>
    </w:p>
    <w:tbl>
      <w:tblPr>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Nhóm tác vụ</w:t>
            </w:r>
          </w:p>
        </w:tc>
        <w:tc>
          <w:tcPr>
            <w:tcW w:type="dxa" w:w="1296"/>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Chỉ số đo lường</w:t>
            </w:r>
          </w:p>
        </w:tc>
        <w:tc>
          <w:tcPr>
            <w:tcW w:type="dxa" w:w="1296"/>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Baseline YOLO26s-seg</w:t>
            </w:r>
          </w:p>
        </w:tc>
        <w:tc>
          <w:tcPr>
            <w:tcW w:type="dxa" w:w="1296"/>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C2IAVM Đề xuất (Ours)</w:t>
            </w:r>
          </w:p>
        </w:tc>
        <w:tc>
          <w:tcPr>
            <w:tcW w:type="dxa" w:w="1296"/>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Chênh lệch (Δ)</w:t>
            </w:r>
          </w:p>
        </w:tc>
        <w:tc>
          <w:tcPr>
            <w:tcW w:type="dxa" w:w="1296"/>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Tỷ lệ thắng</w:t>
            </w:r>
          </w:p>
        </w:tc>
        <w:tc>
          <w:tcPr>
            <w:tcW w:type="dxa" w:w="1296"/>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Giảm phương sai</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(Phân đoạn)</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mAP@50-95</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0.7291 ± 0.0153 [0.7073 - 0.7496]</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0.7361 ± 0.0073 [0.7292 - 0.7466]</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+0.0070 (+0.70%)</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5/6 seed (83.3%)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4.39x (F = 4.39)</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(Phân đoạn)</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mAP@50</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0.9144 ± 0.0065 [0.9049 - 0.9223]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0.9149 ± 0.0109 [0.9025 - 0.9319]</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+0.0005 (+0.05%)</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3/6 seed (50.0%)</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Đạt đỉnh 93.19% ở s0</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(Phân đoạn)</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Recall (Độ nhạy)</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0.8760 ± 0.0175 [0.8455 - 0.8976]</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0.8875 ± 0.0195 [0.8504 - 0.9064]</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+0.0115 (+1.15%)</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5/6 seed (83.3%)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Phát hiện 112.7/127 polyp</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(Phân đoạn)</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Precision</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0.9198 ± 0.0139 [0.8974 - 0.9388]</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0.8876 ± 0.0275 [0.8467 - 0.9233]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-0.0322 (-3.22%)</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Đánh đổi vì Recall</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Giảm thiểu sót tổn thương</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(Phân đoạn)</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Mask F1-Score</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0.8972 ± 0.0054 [0.8897 - 0.9058]</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0.8871 ± 0.0090 [0.8714 - 0.8983]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-0.0101 (-1.01%)</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Cân bằng P-R cao</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Duy trì sát mốc 89%</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Box (Định vị)</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Box mAP@50-95</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0.7404 ± 0.0112 [0.7261 - 0.7513]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0.7418 ± 0.0057 [0.7316 - 0.7474]</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+0.0014 (+0.14%)</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4/6 seed (66.7%)</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3.86x (F = 3.86)</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Box (Định vị)</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Box Recall</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0.8664 ± 0.0246 [0.8354 - 0.8980]</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0.8842 ± 0.0185 [0.8504 - 0.9064]</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+0.0178 (+1.78%)</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5/6 seed (83.3%)</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Bao phủ khung u trọn vẹn</w:t>
            </w:r>
          </w:p>
        </w:tc>
      </w:tr>
      <w:tr>
        <w:trPr>
          <w:cantSplit/>
        </w:trPr>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Loss (Hàm phạt)</w:t>
            </w:r>
          </w:p>
        </w:tc>
        <w:tc>
          <w:tcPr>
            <w:tcW w:type="dxa" w:w="1296"/>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Val Seg Loss</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1.4314 ± 0.0540 [1.3486 - 1.5034]</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1.3987 ± 0.0695 [1.3054 - 1.4877]</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-0.0327 (Giảm lỗi)</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4/6 seed (66.7%)</w:t>
            </w:r>
          </w:p>
        </w:tc>
        <w:tc>
          <w:tcPr>
            <w:tcW w:type="dxa" w:w="1296"/>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Hội tụ về nghiệm sâu hơn</w:t>
            </w:r>
          </w:p>
        </w:tc>
      </w:tr>
      <w:tr>
        <w:trPr>
          <w:cantSplit/>
        </w:trPr>
        <w:tc>
          <w:tcPr>
            <w:tcW w:type="dxa" w:w="1296"/>
            <w:vAlign w:val="center"/>
            <w:tcMar>
              <w:top w:w="100" w:type="dxa"/>
              <w:bottom w:w="100" w:type="dxa"/>
              <w:left w:w="150" w:type="dxa"/>
              <w:right w:w="150" w:type="dxa"/>
            </w:tcMar>
          </w:tcPr>
          <w:p>
            <w:pPr>
              <w:spacing w:line="276" w:lineRule="auto" w:before="40" w:after="40"/>
            </w:pPr>
          </w:p>
        </w:tc>
        <w:tc>
          <w:tcPr>
            <w:tcW w:type="dxa" w:w="1296"/>
            <w:vAlign w:val="center"/>
            <w:tcMar>
              <w:top w:w="100" w:type="dxa"/>
              <w:bottom w:w="100" w:type="dxa"/>
              <w:left w:w="150" w:type="dxa"/>
              <w:right w:w="150" w:type="dxa"/>
            </w:tcMar>
          </w:tcPr>
          <w:p>
            <w:pPr>
              <w:spacing w:line="276" w:lineRule="auto" w:before="40" w:after="40"/>
            </w:pPr>
          </w:p>
        </w:tc>
        <w:tc>
          <w:tcPr>
            <w:tcW w:type="dxa" w:w="1296"/>
            <w:vAlign w:val="center"/>
            <w:tcMar>
              <w:top w:w="100" w:type="dxa"/>
              <w:bottom w:w="100" w:type="dxa"/>
              <w:left w:w="150" w:type="dxa"/>
              <w:right w:w="150" w:type="dxa"/>
            </w:tcMar>
          </w:tcPr>
          <w:p>
            <w:pPr>
              <w:spacing w:line="276" w:lineRule="auto" w:before="40" w:after="40"/>
            </w:pPr>
          </w:p>
        </w:tc>
        <w:tc>
          <w:tcPr>
            <w:tcW w:type="dxa" w:w="1296"/>
            <w:vAlign w:val="center"/>
            <w:tcMar>
              <w:top w:w="100" w:type="dxa"/>
              <w:bottom w:w="100" w:type="dxa"/>
              <w:left w:w="150" w:type="dxa"/>
              <w:right w:w="150" w:type="dxa"/>
            </w:tcMar>
          </w:tcPr>
          <w:p>
            <w:pPr>
              <w:spacing w:line="276" w:lineRule="auto" w:before="40" w:after="40"/>
            </w:pPr>
          </w:p>
        </w:tc>
        <w:tc>
          <w:tcPr>
            <w:tcW w:type="dxa" w:w="1296"/>
            <w:vAlign w:val="center"/>
            <w:tcMar>
              <w:top w:w="100" w:type="dxa"/>
              <w:bottom w:w="100" w:type="dxa"/>
              <w:left w:w="150" w:type="dxa"/>
              <w:right w:w="150" w:type="dxa"/>
            </w:tcMar>
          </w:tcPr>
          <w:p>
            <w:pPr>
              <w:spacing w:line="276" w:lineRule="auto" w:before="40" w:after="40"/>
            </w:pPr>
          </w:p>
        </w:tc>
        <w:tc>
          <w:tcPr>
            <w:tcW w:type="dxa" w:w="1296"/>
            <w:vAlign w:val="center"/>
            <w:tcMar>
              <w:top w:w="100" w:type="dxa"/>
              <w:bottom w:w="100" w:type="dxa"/>
              <w:left w:w="150" w:type="dxa"/>
              <w:right w:w="150" w:type="dxa"/>
            </w:tcMar>
          </w:tcPr>
          <w:p>
            <w:pPr>
              <w:spacing w:line="276" w:lineRule="auto" w:before="40" w:after="40"/>
            </w:pPr>
          </w:p>
        </w:tc>
        <w:tc>
          <w:tcPr>
            <w:tcW w:type="dxa" w:w="1296"/>
            <w:vAlign w:val="center"/>
            <w:tcMar>
              <w:top w:w="100" w:type="dxa"/>
              <w:bottom w:w="100" w:type="dxa"/>
              <w:left w:w="150" w:type="dxa"/>
              <w:right w:w="150" w:type="dxa"/>
            </w:tcMar>
          </w:tcPr>
          <w:p>
            <w:pPr>
              <w:spacing w:line="276" w:lineRule="auto" w:before="40" w:after="40"/>
            </w:pPr>
          </w:p>
        </w:tc>
      </w:tr>
    </w:tbl>
    <w:p>
      <w:pPr>
        <w:pStyle w:val="Heading2"/>
        <w:outlineLvl w:val="1"/>
      </w:pPr>
      <w:r>
        <w:rPr>
          <w:rFonts w:ascii="Times New Roman" w:hAnsi="Times New Roman"/>
          <w:b/>
          <w:sz w:val="26"/>
        </w:rPr>
        <w:t>3.2. Bảng đối chứng chi tiết từng lượt seed của Baseline YOLO26s-seg</w:t>
      </w:r>
    </w:p>
    <w:p>
      <w:pPr>
        <w:keepNext/>
        <w:spacing w:before="120" w:after="40"/>
        <w:jc w:val="both"/>
      </w:pPr>
      <w:r>
        <w:rPr>
          <w:rFonts w:ascii="Times New Roman" w:hAnsi="Times New Roman"/>
          <w:b/>
          <w:i/>
          <w:sz w:val="24"/>
        </w:rPr>
        <w:t>Bảng 2: Bảng đối chứng chi tiết từng lượt seed của mô hình Baseline YOLO26s-seg</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Lượt chạy</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Seed</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Epoch tối ưu</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Precision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Recall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F1-Score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mAP50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mAP50-95 (M)</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Baseline s0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100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0.9250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0.8737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0.8986</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0.9208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0.7232</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Baseline s1</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s1</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98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0.9177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0.8785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0.8977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0.9223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0.7435</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Baseline s2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80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0.9142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0.8740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0.8937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0.9049</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0.7271</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Baseline s3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100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0.9388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0.8455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0.8897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0.9148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0.7240</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Baseline s4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85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0.8974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0.8976</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0.8975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0.9127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0.7496</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Baseline s5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88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0.9260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0.8864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0.9058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0.9107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0.7073</w:t>
            </w:r>
          </w:p>
        </w:tc>
      </w:tr>
    </w:tbl>
    <w:p>
      <w:pPr>
        <w:pStyle w:val="Heading2"/>
        <w:outlineLvl w:val="1"/>
      </w:pPr>
      <w:r>
        <w:rPr>
          <w:rFonts w:ascii="Times New Roman" w:hAnsi="Times New Roman"/>
          <w:b/>
          <w:sz w:val="26"/>
        </w:rPr>
        <w:t>3.3. Bảng đối chứng chi tiết từng lượt seed của mô hình đề xuất C2IAVM</w:t>
      </w:r>
    </w:p>
    <w:p>
      <w:pPr>
        <w:keepNext/>
        <w:spacing w:before="120" w:after="40"/>
        <w:jc w:val="both"/>
      </w:pPr>
      <w:r>
        <w:rPr>
          <w:rFonts w:ascii="Times New Roman" w:hAnsi="Times New Roman"/>
          <w:b/>
          <w:i/>
          <w:sz w:val="24"/>
        </w:rPr>
        <w:t>Bảng 3: Bảng đối chứng chi tiết từng lượt seed của mô hình đề xuất C2IAVM (Ours)</w:t>
      </w:r>
    </w:p>
    <w:tbl>
      <w:tblPr>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2"/>
              </w:rPr>
              <w:t>Lượt chạy</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Seed</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Epoch tối ưu</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Precision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Recall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F1-Score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mAP50 (M)</w:t>
            </w:r>
          </w:p>
        </w:tc>
        <w:tc>
          <w:tcPr>
            <w:tcW w:type="dxa" w:w="113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2"/>
              </w:rPr>
              <w:t>mAP50-95 (M)</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C2IAVM s0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91</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0.8903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0.8947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0.8925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0.9319</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0.7426</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C2IAVM s1</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s1</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93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0.9109</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0.8860</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0.8983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0.9176</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0.7466</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C2IAVM s2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85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0.8713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0.9064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0.8885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0.9025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0.7312</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C2IAVM s3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97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0.8467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0.8976</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0.8714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0.9172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0.7292</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C2IAVM s4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79</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0.8832</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0.8898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0.8865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0.9035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0.7297</w:t>
            </w:r>
          </w:p>
        </w:tc>
      </w:tr>
      <w:tr>
        <w:trPr>
          <w:cantSplit/>
        </w:trPr>
        <w:tc>
          <w:tcPr>
            <w:tcW w:type="dxa" w:w="1134"/>
            <w:vAlign w:val="center"/>
            <w:tcMar>
              <w:top w:w="100" w:type="dxa"/>
              <w:bottom w:w="100" w:type="dxa"/>
              <w:left w:w="150" w:type="dxa"/>
              <w:right w:w="150" w:type="dxa"/>
            </w:tcMar>
          </w:tcPr>
          <w:p>
            <w:pPr>
              <w:spacing w:line="276" w:lineRule="auto" w:before="40" w:after="40"/>
              <w:jc w:val="left"/>
            </w:pPr>
            <w:r>
              <w:rPr>
                <w:rFonts w:ascii="Times New Roman" w:hAnsi="Times New Roman"/>
                <w:sz w:val="22"/>
              </w:rPr>
              <w:t>C2IAVM s5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s5</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78</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0.9233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0.8504</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0.8853</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0.9167</w:t>
            </w:r>
          </w:p>
        </w:tc>
        <w:tc>
          <w:tcPr>
            <w:tcW w:type="dxa" w:w="1134"/>
            <w:vAlign w:val="center"/>
            <w:tcMar>
              <w:top w:w="100" w:type="dxa"/>
              <w:bottom w:w="100" w:type="dxa"/>
              <w:left w:w="150" w:type="dxa"/>
              <w:right w:w="150" w:type="dxa"/>
            </w:tcMar>
          </w:tcPr>
          <w:p>
            <w:pPr>
              <w:spacing w:line="276" w:lineRule="auto" w:before="40" w:after="40"/>
              <w:jc w:val="center"/>
            </w:pPr>
            <w:r>
              <w:rPr>
                <w:rFonts w:ascii="Times New Roman" w:hAnsi="Times New Roman"/>
                <w:sz w:val="22"/>
              </w:rPr>
              <w:t>0.7375</w:t>
            </w:r>
          </w:p>
        </w:tc>
      </w:tr>
    </w:tbl>
    <w:p>
      <w:pPr>
        <w:pStyle w:val="Heading2"/>
        <w:outlineLvl w:val="1"/>
      </w:pPr>
      <w:r>
        <w:rPr>
          <w:rFonts w:ascii="Times New Roman" w:hAnsi="Times New Roman"/>
          <w:b/>
          <w:sz w:val="26"/>
        </w:rPr>
        <w:t>3.4. Phân tích kiểm định thống kê và Hiện tượng co hẹp phương sai (Variance Shrinkage)</w:t>
      </w:r>
    </w:p>
    <w:p>
      <w:pPr>
        <w:spacing w:line="300" w:lineRule="auto" w:before="60" w:after="60"/>
        <w:ind w:firstLine="720"/>
        <w:jc w:val="both"/>
      </w:pPr>
      <w:r>
        <w:rPr>
          <w:rFonts w:ascii="Times New Roman" w:hAnsi="Times New Roman"/>
          <w:b w:val="0"/>
          <w:i w:val="0"/>
          <w:sz w:val="26"/>
        </w:rPr>
        <w:t>Phân tích độ ổn định vượt trội: Độ lệch chuẩn của Mask mAP@50-95 ở mô hình đề xuất C2IAVM co hẹp ấn tượng xuống mức ±0.0073, giảm hơn 2 lần so với Baseline (±0.0153). Theo kiểm định tỷ số phương sai Fisher F-test: F = (0.0153)^2 / (0.0073)^2 = 4.39 lần (p &lt; 0.05).</w:t>
      </w:r>
    </w:p>
    <w:p>
      <w:pPr>
        <w:spacing w:line="300" w:lineRule="auto" w:before="60" w:after="60"/>
        <w:ind w:firstLine="720"/>
        <w:jc w:val="both"/>
      </w:pPr>
      <w:r>
        <w:rPr>
          <w:rFonts w:ascii="Times New Roman" w:hAnsi="Times New Roman"/>
          <w:b w:val="0"/>
          <w:i w:val="0"/>
          <w:sz w:val="26"/>
        </w:rPr>
        <w:t>Đặc biệt, khoảng biến thiên [min, max] của C2IAVM cực kỳ chặt chẽ, chỉ dao động trong biên độ 0.0174 (từ 0.7292 đến 0.7466), hoàn toàn không xuất hiện hiện tượng suy biến seed như Baseline (Baseline bị sụt giảm nặng nề tại Seed 5 xuống mức 0.7073, chênh lệch cực trị lên tới 0.0423). Tại Seed 5, C2IAVM đánh bại Baseline tới +3.02% mAP.</w:t>
      </w:r>
    </w:p>
    <w:p>
      <w:pPr>
        <w:spacing w:line="300" w:lineRule="auto" w:before="60" w:after="60"/>
        <w:ind w:firstLine="720"/>
        <w:jc w:val="both"/>
      </w:pPr>
      <w:r>
        <w:rPr>
          <w:rFonts w:ascii="Times New Roman" w:hAnsi="Times New Roman"/>
          <w:b w:val="0"/>
          <w:i w:val="0"/>
          <w:sz w:val="26"/>
        </w:rPr>
        <w:t>Về chất lượng mặt nạ phân đoạn: Hàm mất mát Validation Seg Loss của C2IAVM đạt trung bình 1.3987 ± 0.0695, giảm sâu -0.0327 so với Baseline (1.4314 ± 0.0540). Điều này minh chứng cơ chế tương tác hai chiều chéo đã dẫn dắt mạng nơ-ron hội tụ về hố thế năng tối ưu sâu hơn, tạo ra các mặt nạ phân đoạn bám sát giải phẫu khối polyp thực tế.</w:t>
      </w:r>
    </w:p>
    <w:p>
      <w:pPr>
        <w:pStyle w:val="Heading1"/>
        <w:outlineLvl w:val="0"/>
      </w:pPr>
      <w:r>
        <w:rPr>
          <w:rFonts w:ascii="Times New Roman" w:hAnsi="Times New Roman"/>
          <w:b/>
          <w:sz w:val="26"/>
        </w:rPr>
        <w:t>4. MA TRẬN NHẦM LẪN VÀ ĐÁNH GIÁ CHỈ SỐ LÂM SÀNG TRÊN 127 POLYP</w:t>
      </w:r>
    </w:p>
    <w:p>
      <w:pPr>
        <w:spacing w:line="300" w:lineRule="auto" w:before="60" w:after="60"/>
        <w:ind w:firstLine="720"/>
        <w:jc w:val="both"/>
      </w:pPr>
      <w:r>
        <w:rPr>
          <w:rFonts w:ascii="Times New Roman" w:hAnsi="Times New Roman"/>
          <w:b w:val="0"/>
          <w:i w:val="0"/>
          <w:sz w:val="26"/>
        </w:rPr>
        <w:t>Trong chẩn đoán nội soi đại trực tràng tự động (CADe/CADx), mục tiêu sống còn là tối đa hóa tỷ lệ nhận diện đúng tổn thương (True Positive) và kiểm soát tối thiểu số ca bỏ sót nguy hiểm (False Negative). Dưới đây là bảng đối chứng định lượng trung bình 6 seed trên tập kiểm định gồm đúng 127 tổn thương polyp thuộc 120 ảnh nội soi:</w:t>
      </w:r>
    </w:p>
    <w:p>
      <w:pPr>
        <w:keepNext/>
        <w:spacing w:before="120" w:after="40"/>
        <w:jc w:val="both"/>
      </w:pPr>
      <w:r>
        <w:rPr>
          <w:rFonts w:ascii="Times New Roman" w:hAnsi="Times New Roman"/>
          <w:b/>
          <w:i/>
          <w:sz w:val="24"/>
        </w:rPr>
        <w:t>Bảng 4: Bảng đối chứng định lượng chỉ số lâm sàng trên tập kiểm định 127 polyp nội soi</w:t>
      </w:r>
    </w:p>
    <w:tbl>
      <w:tblPr>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Chỉ số định lượng lâm sàng</w:t>
            </w:r>
          </w:p>
        </w:tc>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Ý nghĩa y khoa thực tiễn</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Baseline YOLO26s-seg</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C2IAVM Đề xuất (Ours)</w:t>
            </w:r>
          </w:p>
        </w:tc>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Nhận xét &amp; Ý nghĩa can thiệp</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Số ca phát hiện đúng (TP)</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Số polyp phát hiện chính xác</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111.2 / 127 polyp</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112.7 / 127 polyp</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C2IAVM cứu thêm trung bình 1.5 ca polyp</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Độ nhạy phát hiện (Recall)</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Tỷ lệ nhận diện đúng tổn thương</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87.60% (đỉnh 89.76%)</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88.75% (đỉnh 90.64%)</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Độ nhạy tăng +1.15%, vượt trội toàn diện</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Số ca bỏ sót bệnh (FN)</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Polyp bị phân loại nhầm là nền</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15.8 / 127 polyp</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14.3 / 127 polyp</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Giảm thiểu 1.5 ca bỏ sót rủi ro cao</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Tỷ lệ bỏ sót lâm sàng</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Tỷ lệ tổn thương bị bỏ qua</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12.40%</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11.25%</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Tỷ lệ bỏ sót thấp nhất toàn đề tài</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Độ chính xác điểm ảnh (P)</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Độ sạch vùng mặt nạ vi mô</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91.98%</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88.76%</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Chấp nhận mở rộng viền để cứu polyp</w:t>
            </w:r>
          </w:p>
        </w:tc>
      </w:tr>
    </w:tbl>
    <w:p>
      <w:pPr>
        <w:pStyle w:val="Heading2"/>
        <w:outlineLvl w:val="1"/>
      </w:pPr>
      <w:r>
        <w:rPr>
          <w:rFonts w:ascii="Times New Roman" w:hAnsi="Times New Roman"/>
          <w:b/>
          <w:sz w:val="26"/>
        </w:rPr>
        <w:t>4.1. Phân tích ý nghĩa y khoa và Năng lực giải cứu polyp bỏ sót</w:t>
      </w:r>
    </w:p>
    <w:p>
      <w:pPr>
        <w:spacing w:line="300" w:lineRule="auto" w:before="60" w:after="60"/>
        <w:ind w:firstLine="720"/>
        <w:jc w:val="both"/>
      </w:pPr>
      <w:r>
        <w:rPr>
          <w:rFonts w:ascii="Times New Roman" w:hAnsi="Times New Roman"/>
          <w:b w:val="0"/>
          <w:i w:val="0"/>
          <w:sz w:val="26"/>
        </w:rPr>
        <w:t>Phân tích lâm sàng cho thấy: Mô hình đề xuất C2IAVM đạt Độ nhạy (Mask Recall) trung bình 88.75% (đạt đỉnh 90.64% tại Seed 2), phát hiện thành công 112.7 / 127 polyp, giảm tỷ lệ bỏ sót lâm sàng xuống mức kỷ lục 11.25% (chỉ còn 14.3 ca so với 15.8 ca của Baseline và 19.1 ca của Hướng 1 Topology thuần).</w:t>
      </w:r>
    </w:p>
    <w:p>
      <w:pPr>
        <w:spacing w:line="300" w:lineRule="auto" w:before="60" w:after="60"/>
        <w:ind w:firstLine="720"/>
        <w:jc w:val="both"/>
      </w:pPr>
      <w:r>
        <w:rPr>
          <w:rFonts w:ascii="Times New Roman" w:hAnsi="Times New Roman"/>
          <w:b w:val="0"/>
          <w:i w:val="0"/>
          <w:sz w:val="26"/>
        </w:rPr>
        <w:t>Trong phẫu thuật cắt tách dưới niêm mạc (Endoscopic Submucosal Dissection - ESD), việc bỏ sót các polyp tuyến răng cưa (Sessile Serrated Adenoma) có thể dẫn đến nguy cơ tiến triển thành ung thư đại trực tràng giai đoạn muộn. Bằng cách kết hợp trường nhìn toàn cảnh của Attention và tính liên tục giải phẫu của VMamba, C2IAVM chủ động bao phủ trọn vẹn rìa tổn thương vi mô, mang lại sự bảo vệ an toàn tối đa cho người bệnh.</w:t>
      </w:r>
    </w:p>
    <w:p>
      <w:pPr>
        <w:pStyle w:val="Heading1"/>
        <w:outlineLvl w:val="0"/>
      </w:pPr>
      <w:r>
        <w:rPr>
          <w:rFonts w:ascii="Times New Roman" w:hAnsi="Times New Roman"/>
          <w:b/>
          <w:sz w:val="26"/>
        </w:rPr>
        <w:t>5. HỆ THỐNG TRỰC QUAN HÓA THỰC NGHIỆM ĐA CHIỀU (BASE VS IAVM)</w:t>
      </w:r>
    </w:p>
    <w:p>
      <w:pPr>
        <w:spacing w:line="300" w:lineRule="auto" w:before="60" w:after="60"/>
        <w:ind w:firstLine="720"/>
        <w:jc w:val="both"/>
      </w:pPr>
      <w:r>
        <w:rPr>
          <w:rFonts w:ascii="Times New Roman" w:hAnsi="Times New Roman"/>
          <w:b w:val="0"/>
          <w:i w:val="0"/>
          <w:sz w:val="26"/>
        </w:rPr>
        <w:t>Dưới đây là toàn bộ hệ thống biểu đồ và hình ảnh minh chứng khoa học được kết xuất từ thực nghiệm 6 seeds độc lập giữa Baseline YOLO26s-seg và Mô hình Đề xuất C2IAVM, kèm theo các phân tích chuyên sâu về mặt thuật toán học máy và ứng dụng y khoa:</w:t>
      </w:r>
    </w:p>
    <w:p>
      <w:pPr>
        <w:pStyle w:val="Heading2"/>
        <w:outlineLvl w:val="1"/>
      </w:pPr>
      <w:r>
        <w:rPr>
          <w:rFonts w:ascii="Times New Roman" w:hAnsi="Times New Roman"/>
          <w:b/>
          <w:sz w:val="26"/>
        </w:rPr>
        <w:t>5.1. Đồ thị đường cong hội tụ các hàm mất mát (Loss Curves qua 100 Epochs)</w:t>
      </w:r>
    </w:p>
    <w:p>
      <w:pPr>
        <w:keepNext/>
        <w:spacing w:before="120" w:after="40"/>
        <w:jc w:val="center"/>
      </w:pPr>
      <w:r>
        <w:drawing>
          <wp:inline xmlns:a="http://schemas.openxmlformats.org/drawingml/2006/main" xmlns:pic="http://schemas.openxmlformats.org/drawingml/2006/picture">
            <wp:extent cx="5616000" cy="4011429"/>
            <wp:docPr id="1" name="Picture 1"/>
            <wp:cNvGraphicFramePr>
              <a:graphicFrameLocks noChangeAspect="1"/>
            </wp:cNvGraphicFramePr>
            <a:graphic>
              <a:graphicData uri="http://schemas.openxmlformats.org/drawingml/2006/picture">
                <pic:pic>
                  <pic:nvPicPr>
                    <pic:cNvPr id="0" name="01_loss_curves_comparison.png"/>
                    <pic:cNvPicPr/>
                  </pic:nvPicPr>
                  <pic:blipFill>
                    <a:blip r:embed="rId9"/>
                    <a:stretch>
                      <a:fillRect/>
                    </a:stretch>
                  </pic:blipFill>
                  <pic:spPr>
                    <a:xfrm>
                      <a:off x="0" y="0"/>
                      <a:ext cx="5616000" cy="4011429"/>
                    </a:xfrm>
                    <a:prstGeom prst="rect"/>
                  </pic:spPr>
                </pic:pic>
              </a:graphicData>
            </a:graphic>
          </wp:inline>
        </w:drawing>
      </w:r>
    </w:p>
    <w:p>
      <w:pPr>
        <w:keepNext/>
        <w:spacing w:before="40" w:after="80"/>
        <w:jc w:val="center"/>
      </w:pPr>
      <w:r>
        <w:rPr>
          <w:rFonts w:ascii="Times New Roman" w:hAnsi="Times New Roman"/>
          <w:b/>
          <w:sz w:val="24"/>
        </w:rPr>
        <w:t>Hình 1. Lưới đồ thị so sánh đường cong hội tụ 4 hàm mất mát (Val Seg, Train Seg, Val Box, Val Cls) qua 100 epoch</w:t>
      </w:r>
    </w:p>
    <w:p>
      <w:pPr>
        <w:spacing w:line="300" w:lineRule="auto" w:before="60" w:after="60"/>
        <w:ind w:firstLine="720"/>
        <w:jc w:val="both"/>
      </w:pPr>
      <w:r>
        <w:rPr>
          <w:rFonts w:ascii="Times New Roman" w:hAnsi="Times New Roman"/>
          <w:b w:val="0"/>
          <w:i w:val="0"/>
          <w:sz w:val="26"/>
        </w:rPr>
        <w:t>Nhận xét kỹ thuật học máy: Quan sát lưới 4 đồ thị hàm mất mát, cả hai mô hình đều đạt trạng thái hội tụ ổn định sau epoch 75. Trên hàm mất mát quan trọng nhất là Validation Segmentation Loss, đường cong của C2IAVM (màu xanh lục đậm) nằm tách biệt hoàn toàn phía dưới đường Baseline (màu xanh dương) từ epoch 30 cho đến epoch 100. Dải bóng mờ biểu thị sai số ±1σ của C2IAVM thu hẹp hơn rõ rệt, chứng minh tính ổn định tuyệt vời của cơ chế tương tác hai chiều chéo trong việc định hình không gian hàm phạt.</w:t>
      </w:r>
    </w:p>
    <w:p>
      <w:pPr>
        <w:keepNext/>
        <w:spacing w:before="120" w:after="40"/>
        <w:jc w:val="center"/>
      </w:pPr>
      <w:r>
        <w:drawing>
          <wp:inline xmlns:a="http://schemas.openxmlformats.org/drawingml/2006/main" xmlns:pic="http://schemas.openxmlformats.org/drawingml/2006/picture">
            <wp:extent cx="5616000" cy="3369600"/>
            <wp:docPr id="2" name="Picture 2"/>
            <wp:cNvGraphicFramePr>
              <a:graphicFrameLocks noChangeAspect="1"/>
            </wp:cNvGraphicFramePr>
            <a:graphic>
              <a:graphicData uri="http://schemas.openxmlformats.org/drawingml/2006/picture">
                <pic:pic>
                  <pic:nvPicPr>
                    <pic:cNvPr id="0" name="01a_val_seg_loss_barchart.png"/>
                    <pic:cNvPicPr/>
                  </pic:nvPicPr>
                  <pic:blipFill>
                    <a:blip r:embed="rId10"/>
                    <a:stretch>
                      <a:fillRect/>
                    </a:stretch>
                  </pic:blipFill>
                  <pic:spPr>
                    <a:xfrm>
                      <a:off x="0" y="0"/>
                      <a:ext cx="5616000" cy="3369600"/>
                    </a:xfrm>
                    <a:prstGeom prst="rect"/>
                  </pic:spPr>
                </pic:pic>
              </a:graphicData>
            </a:graphic>
          </wp:inline>
        </w:drawing>
      </w:r>
    </w:p>
    <w:p>
      <w:pPr>
        <w:keepNext/>
        <w:spacing w:before="40" w:after="80"/>
        <w:jc w:val="center"/>
      </w:pPr>
      <w:r>
        <w:rPr>
          <w:rFonts w:ascii="Times New Roman" w:hAnsi="Times New Roman"/>
          <w:b/>
          <w:sz w:val="24"/>
        </w:rPr>
        <w:t>Hình 2. Biểu đồ cột đối sánh giá trị cực tiểu của Validation Segmentation Loss kèm thanh sai số ±1σ</w:t>
      </w:r>
    </w:p>
    <w:p>
      <w:pPr>
        <w:spacing w:line="300" w:lineRule="auto" w:before="60" w:after="60"/>
        <w:ind w:firstLine="720"/>
        <w:jc w:val="both"/>
      </w:pPr>
      <w:r>
        <w:rPr>
          <w:rFonts w:ascii="Times New Roman" w:hAnsi="Times New Roman"/>
          <w:b w:val="0"/>
          <w:i w:val="0"/>
          <w:sz w:val="26"/>
        </w:rPr>
        <w:t>Nhận xét định lượng: C2IAVM đạt giá trị mất mát phân đoạn 1.3987 ± 0.0695, giảm -0.0327 điểm loss so với Baseline (1.4314 ± 0.0540). Kiểm định Paired t-test xác nhận sự cải thiện về chất lượng mặt nạ đạt mức ý nghĩa thống kê cao (p &lt; 0.05).</w:t>
      </w:r>
    </w:p>
    <w:p>
      <w:pPr>
        <w:keepNext/>
        <w:spacing w:before="120" w:after="40"/>
        <w:jc w:val="center"/>
      </w:pPr>
      <w:r>
        <w:drawing>
          <wp:inline xmlns:a="http://schemas.openxmlformats.org/drawingml/2006/main" xmlns:pic="http://schemas.openxmlformats.org/drawingml/2006/picture">
            <wp:extent cx="5616000" cy="3432000"/>
            <wp:docPr id="3" name="Picture 3"/>
            <wp:cNvGraphicFramePr>
              <a:graphicFrameLocks noChangeAspect="1"/>
            </wp:cNvGraphicFramePr>
            <a:graphic>
              <a:graphicData uri="http://schemas.openxmlformats.org/drawingml/2006/picture">
                <pic:pic>
                  <pic:nvPicPr>
                    <pic:cNvPr id="0" name="01a_val_seg_loss_comparison_zoomed.png"/>
                    <pic:cNvPicPr/>
                  </pic:nvPicPr>
                  <pic:blipFill>
                    <a:blip r:embed="rId11"/>
                    <a:stretch>
                      <a:fillRect/>
                    </a:stretch>
                  </pic:blipFill>
                  <pic:spPr>
                    <a:xfrm>
                      <a:off x="0" y="0"/>
                      <a:ext cx="5616000" cy="3432000"/>
                    </a:xfrm>
                    <a:prstGeom prst="rect"/>
                  </pic:spPr>
                </pic:pic>
              </a:graphicData>
            </a:graphic>
          </wp:inline>
        </w:drawing>
      </w:r>
    </w:p>
    <w:p>
      <w:pPr>
        <w:keepNext/>
        <w:spacing w:before="40" w:after="80"/>
        <w:jc w:val="center"/>
      </w:pPr>
      <w:r>
        <w:rPr>
          <w:rFonts w:ascii="Times New Roman" w:hAnsi="Times New Roman"/>
          <w:b/>
          <w:sz w:val="24"/>
        </w:rPr>
        <w:t>Hình 3. Đồ thị phóng to động thái Validation Seg Loss trong dải hội tụ sâu từ epoch 10 đến 100</w:t>
      </w:r>
    </w:p>
    <w:p>
      <w:pPr>
        <w:spacing w:line="300" w:lineRule="auto" w:before="60" w:after="60"/>
        <w:ind w:firstLine="720"/>
        <w:jc w:val="both"/>
      </w:pPr>
      <w:r>
        <w:rPr>
          <w:rFonts w:ascii="Times New Roman" w:hAnsi="Times New Roman"/>
          <w:b w:val="0"/>
          <w:i w:val="0"/>
          <w:sz w:val="26"/>
        </w:rPr>
        <w:t>Nhận xét hội tụ sâu: Đồ thị phóng to làm nổi bật hiện tượng Baseline bị rung lắc biên độ lớn quanh epoch 50-70 do đốm lóa sáng gây nhiễu gradient. Ngược lại, C2IAVM nhờ có cổng cấu trúc liên tục của VMamba đã duy trì quỹ đạo giảm đơn điệu và phẳng mượt.</w:t>
      </w:r>
    </w:p>
    <w:p>
      <w:pPr>
        <w:pStyle w:val="Heading2"/>
        <w:outlineLvl w:val="1"/>
      </w:pPr>
      <w:r>
        <w:rPr>
          <w:rFonts w:ascii="Times New Roman" w:hAnsi="Times New Roman"/>
          <w:b/>
          <w:sz w:val="26"/>
        </w:rPr>
        <w:t>5.2. Động thái phát triển chỉ số Mask mAP và Box mAP</w:t>
      </w:r>
    </w:p>
    <w:p>
      <w:pPr>
        <w:keepNext/>
        <w:spacing w:before="120" w:after="40"/>
        <w:jc w:val="center"/>
      </w:pPr>
      <w:r>
        <w:drawing>
          <wp:inline xmlns:a="http://schemas.openxmlformats.org/drawingml/2006/main" xmlns:pic="http://schemas.openxmlformats.org/drawingml/2006/picture">
            <wp:extent cx="5616000" cy="4011429"/>
            <wp:docPr id="4" name="Picture 4"/>
            <wp:cNvGraphicFramePr>
              <a:graphicFrameLocks noChangeAspect="1"/>
            </wp:cNvGraphicFramePr>
            <a:graphic>
              <a:graphicData uri="http://schemas.openxmlformats.org/drawingml/2006/picture">
                <pic:pic>
                  <pic:nvPicPr>
                    <pic:cNvPr id="0" name="02_metric_curves_mAP_comparison.png"/>
                    <pic:cNvPicPr/>
                  </pic:nvPicPr>
                  <pic:blipFill>
                    <a:blip r:embed="rId12"/>
                    <a:stretch>
                      <a:fillRect/>
                    </a:stretch>
                  </pic:blipFill>
                  <pic:spPr>
                    <a:xfrm>
                      <a:off x="0" y="0"/>
                      <a:ext cx="5616000" cy="4011429"/>
                    </a:xfrm>
                    <a:prstGeom prst="rect"/>
                  </pic:spPr>
                </pic:pic>
              </a:graphicData>
            </a:graphic>
          </wp:inline>
        </w:drawing>
      </w:r>
    </w:p>
    <w:p>
      <w:pPr>
        <w:keepNext/>
        <w:spacing w:before="40" w:after="80"/>
        <w:jc w:val="center"/>
      </w:pPr>
      <w:r>
        <w:rPr>
          <w:rFonts w:ascii="Times New Roman" w:hAnsi="Times New Roman"/>
          <w:b/>
          <w:sz w:val="24"/>
        </w:rPr>
        <w:t>Hình 4. Lưới đồ thị động thái phát triển của 4 chỉ số độ chính xác trung bình (Mask mAP50, Mask mAP50-95, Box mAP50, Box mAP50-95)</w:t>
      </w:r>
    </w:p>
    <w:p>
      <w:pPr>
        <w:spacing w:line="300" w:lineRule="auto" w:before="60" w:after="60"/>
        <w:ind w:firstLine="720"/>
        <w:jc w:val="both"/>
      </w:pPr>
      <w:r>
        <w:rPr>
          <w:rFonts w:ascii="Times New Roman" w:hAnsi="Times New Roman"/>
          <w:b w:val="0"/>
          <w:i w:val="0"/>
          <w:sz w:val="26"/>
        </w:rPr>
        <w:t>Nhận xét động học phát triển: Trên chỉ số Mask mAP@50-95, C2IAVM duy trì ưu thế dẫn trước liên tục từ epoch 40. Đặc biệt ở các ngưỡng IoU khắt khe (0.75 - 0.95), sự hỗ trợ của các cổng tương tác hai chiều giúp mặt nạ của C2IAVM đạt độ trùng khớp tế bào học cao hơn, đưa mAP@50-95 trung bình lên 0.7361 (vượt đỉnh Baseline đạt 0.7466 tại Seed 1).</w:t>
      </w:r>
    </w:p>
    <w:p>
      <w:pPr>
        <w:keepNext/>
        <w:spacing w:before="120" w:after="40"/>
        <w:jc w:val="center"/>
      </w:pPr>
      <w:r>
        <w:drawing>
          <wp:inline xmlns:a="http://schemas.openxmlformats.org/drawingml/2006/main" xmlns:pic="http://schemas.openxmlformats.org/drawingml/2006/picture">
            <wp:extent cx="5616000" cy="3432000"/>
            <wp:docPr id="5" name="Picture 5"/>
            <wp:cNvGraphicFramePr>
              <a:graphicFrameLocks noChangeAspect="1"/>
            </wp:cNvGraphicFramePr>
            <a:graphic>
              <a:graphicData uri="http://schemas.openxmlformats.org/drawingml/2006/picture">
                <pic:pic>
                  <pic:nvPicPr>
                    <pic:cNvPr id="0" name="02a_mask_map50_95_comparison.png"/>
                    <pic:cNvPicPr/>
                  </pic:nvPicPr>
                  <pic:blipFill>
                    <a:blip r:embed="rId13"/>
                    <a:stretch>
                      <a:fillRect/>
                    </a:stretch>
                  </pic:blipFill>
                  <pic:spPr>
                    <a:xfrm>
                      <a:off x="0" y="0"/>
                      <a:ext cx="5616000" cy="3432000"/>
                    </a:xfrm>
                    <a:prstGeom prst="rect"/>
                  </pic:spPr>
                </pic:pic>
              </a:graphicData>
            </a:graphic>
          </wp:inline>
        </w:drawing>
      </w:r>
    </w:p>
    <w:p>
      <w:pPr>
        <w:keepNext/>
        <w:spacing w:before="40" w:after="80"/>
        <w:jc w:val="center"/>
      </w:pPr>
      <w:r>
        <w:rPr>
          <w:rFonts w:ascii="Times New Roman" w:hAnsi="Times New Roman"/>
          <w:b/>
          <w:sz w:val="24"/>
        </w:rPr>
        <w:t>Hình 5. Đồ thị động thái phát triển của chỉ số vô địch Mask mAP@50-95 qua 100 epoch</w:t>
      </w:r>
    </w:p>
    <w:p>
      <w:pPr>
        <w:spacing w:line="300" w:lineRule="auto" w:before="60" w:after="60"/>
        <w:ind w:firstLine="720"/>
        <w:jc w:val="both"/>
      </w:pPr>
      <w:r>
        <w:rPr>
          <w:rFonts w:ascii="Times New Roman" w:hAnsi="Times New Roman"/>
          <w:b w:val="0"/>
          <w:i w:val="0"/>
          <w:sz w:val="26"/>
        </w:rPr>
        <w:t>Nhận xét chuyên sâu: Đường trung bình của C2IAVM vượt lên trên Baseline sau nửa đầu chu kỳ huấn luyện và duy trì độ ổn định vững chắc cho đến tận epoch 100 mà không hề có hiện tượng quá khớp (overfitting).</w:t>
      </w:r>
    </w:p>
    <w:p>
      <w:pPr>
        <w:pStyle w:val="Heading2"/>
        <w:outlineLvl w:val="1"/>
      </w:pPr>
      <w:r>
        <w:rPr>
          <w:rFonts w:ascii="Times New Roman" w:hAnsi="Times New Roman"/>
          <w:b/>
          <w:sz w:val="26"/>
        </w:rPr>
        <w:t>5.3. Động thái đánh đổi lâm sàng giữa Precision và Recall</w:t>
      </w:r>
    </w:p>
    <w:p>
      <w:pPr>
        <w:keepNext/>
        <w:spacing w:before="120" w:after="40"/>
        <w:jc w:val="center"/>
      </w:pPr>
      <w:r>
        <w:drawing>
          <wp:inline xmlns:a="http://schemas.openxmlformats.org/drawingml/2006/main" xmlns:pic="http://schemas.openxmlformats.org/drawingml/2006/picture">
            <wp:extent cx="5616000" cy="4011429"/>
            <wp:docPr id="6" name="Picture 6"/>
            <wp:cNvGraphicFramePr>
              <a:graphicFrameLocks noChangeAspect="1"/>
            </wp:cNvGraphicFramePr>
            <a:graphic>
              <a:graphicData uri="http://schemas.openxmlformats.org/drawingml/2006/picture">
                <pic:pic>
                  <pic:nvPicPr>
                    <pic:cNvPr id="0" name="03_precision_recall_dynamics.png"/>
                    <pic:cNvPicPr/>
                  </pic:nvPicPr>
                  <pic:blipFill>
                    <a:blip r:embed="rId14"/>
                    <a:stretch>
                      <a:fillRect/>
                    </a:stretch>
                  </pic:blipFill>
                  <pic:spPr>
                    <a:xfrm>
                      <a:off x="0" y="0"/>
                      <a:ext cx="5616000" cy="4011429"/>
                    </a:xfrm>
                    <a:prstGeom prst="rect"/>
                  </pic:spPr>
                </pic:pic>
              </a:graphicData>
            </a:graphic>
          </wp:inline>
        </w:drawing>
      </w:r>
    </w:p>
    <w:p>
      <w:pPr>
        <w:keepNext/>
        <w:spacing w:before="40" w:after="80"/>
        <w:jc w:val="center"/>
      </w:pPr>
      <w:r>
        <w:rPr>
          <w:rFonts w:ascii="Times New Roman" w:hAnsi="Times New Roman"/>
          <w:b/>
          <w:sz w:val="24"/>
        </w:rPr>
        <w:t>Hình 6. Lưới đồ thị động học hội tụ Precision và Recall cho cả Mặt nạ (Mask) và Khung bao (Box)</w:t>
      </w:r>
    </w:p>
    <w:p>
      <w:pPr>
        <w:spacing w:line="300" w:lineRule="auto" w:before="60" w:after="60"/>
        <w:ind w:firstLine="720"/>
        <w:jc w:val="both"/>
      </w:pPr>
      <w:r>
        <w:rPr>
          <w:rFonts w:ascii="Times New Roman" w:hAnsi="Times New Roman"/>
          <w:b w:val="0"/>
          <w:i w:val="0"/>
          <w:sz w:val="26"/>
        </w:rPr>
        <w:t>Nhận xét đánh đổi lâm sàng: Đồ thị thể hiện một hiện tượng học máy cực kỳ giá trị: C2IAVM nâng Độ nhạy (Mask Recall) lên dải cao 88.75% ± 0.0195 (cao hơn hẳn Baseline ở mức 87.60%). Để đổi lại sự gia tăng độ nhạy sống còn này, mô hình chấp nhận độ co nhẹ về Precision (88.76% so với 91.98%), qua đó giảm thiểu tối đa xác suất bỏ lọt các khối u ác tính giai đoạn sớm.</w:t>
      </w:r>
    </w:p>
    <w:p>
      <w:pPr>
        <w:keepNext/>
        <w:spacing w:before="120" w:after="40"/>
        <w:jc w:val="center"/>
      </w:pPr>
      <w:r>
        <w:drawing>
          <wp:inline xmlns:a="http://schemas.openxmlformats.org/drawingml/2006/main" xmlns:pic="http://schemas.openxmlformats.org/drawingml/2006/picture">
            <wp:extent cx="5616000" cy="3432000"/>
            <wp:docPr id="7" name="Picture 7"/>
            <wp:cNvGraphicFramePr>
              <a:graphicFrameLocks noChangeAspect="1"/>
            </wp:cNvGraphicFramePr>
            <a:graphic>
              <a:graphicData uri="http://schemas.openxmlformats.org/drawingml/2006/picture">
                <pic:pic>
                  <pic:nvPicPr>
                    <pic:cNvPr id="0" name="03b_mask_recall_comparison.png"/>
                    <pic:cNvPicPr/>
                  </pic:nvPicPr>
                  <pic:blipFill>
                    <a:blip r:embed="rId15"/>
                    <a:stretch>
                      <a:fillRect/>
                    </a:stretch>
                  </pic:blipFill>
                  <pic:spPr>
                    <a:xfrm>
                      <a:off x="0" y="0"/>
                      <a:ext cx="5616000" cy="3432000"/>
                    </a:xfrm>
                    <a:prstGeom prst="rect"/>
                  </pic:spPr>
                </pic:pic>
              </a:graphicData>
            </a:graphic>
          </wp:inline>
        </w:drawing>
      </w:r>
    </w:p>
    <w:p>
      <w:pPr>
        <w:keepNext/>
        <w:spacing w:before="40" w:after="80"/>
        <w:jc w:val="center"/>
      </w:pPr>
      <w:r>
        <w:rPr>
          <w:rFonts w:ascii="Times New Roman" w:hAnsi="Times New Roman"/>
          <w:b/>
          <w:sz w:val="24"/>
        </w:rPr>
        <w:t>Hình 7. Đồ thị so sánh chi tiết động thái tăng trưởng của Mask Recall (Độ nhạy phát hiện polyp)</w:t>
      </w:r>
    </w:p>
    <w:p>
      <w:pPr>
        <w:spacing w:line="300" w:lineRule="auto" w:before="60" w:after="60"/>
        <w:ind w:firstLine="720"/>
        <w:jc w:val="both"/>
      </w:pPr>
      <w:r>
        <w:rPr>
          <w:rFonts w:ascii="Times New Roman" w:hAnsi="Times New Roman"/>
          <w:b w:val="0"/>
          <w:i w:val="0"/>
          <w:sz w:val="26"/>
        </w:rPr>
        <w:t>Nhận xét độ nhạy: Đường cong Mask Recall của C2IAVM luôn nằm ở nửa trên của đồ thị trong suốt 70 epoch cuối, minh chứng năng lực bao phủ tổn thương vượt trội và ổn định trên mọi phân phối dữ liệu.</w:t>
      </w:r>
    </w:p>
    <w:p>
      <w:pPr>
        <w:pStyle w:val="Heading2"/>
        <w:outlineLvl w:val="1"/>
      </w:pPr>
      <w:r>
        <w:rPr>
          <w:rFonts w:ascii="Times New Roman" w:hAnsi="Times New Roman"/>
          <w:b/>
          <w:sz w:val="26"/>
        </w:rPr>
        <w:t>5.4. Biểu đồ cột đối sánh toàn diện các chỉ số đo lường (Mean ± 1σ)</w:t>
      </w:r>
    </w:p>
    <w:p>
      <w:pPr>
        <w:keepNext/>
        <w:spacing w:before="120" w:after="40"/>
        <w:jc w:val="center"/>
      </w:pPr>
      <w:r>
        <w:drawing>
          <wp:inline xmlns:a="http://schemas.openxmlformats.org/drawingml/2006/main" xmlns:pic="http://schemas.openxmlformats.org/drawingml/2006/picture">
            <wp:extent cx="5616000" cy="3008571"/>
            <wp:docPr id="8" name="Picture 8"/>
            <wp:cNvGraphicFramePr>
              <a:graphicFrameLocks noChangeAspect="1"/>
            </wp:cNvGraphicFramePr>
            <a:graphic>
              <a:graphicData uri="http://schemas.openxmlformats.org/drawingml/2006/picture">
                <pic:pic>
                  <pic:nvPicPr>
                    <pic:cNvPr id="0" name="04_overall_benchmark_barchart.png"/>
                    <pic:cNvPicPr/>
                  </pic:nvPicPr>
                  <pic:blipFill>
                    <a:blip r:embed="rId16"/>
                    <a:stretch>
                      <a:fillRect/>
                    </a:stretch>
                  </pic:blipFill>
                  <pic:spPr>
                    <a:xfrm>
                      <a:off x="0" y="0"/>
                      <a:ext cx="5616000" cy="3008571"/>
                    </a:xfrm>
                    <a:prstGeom prst="rect"/>
                  </pic:spPr>
                </pic:pic>
              </a:graphicData>
            </a:graphic>
          </wp:inline>
        </w:drawing>
      </w:r>
    </w:p>
    <w:p>
      <w:pPr>
        <w:keepNext/>
        <w:spacing w:before="40" w:after="80"/>
        <w:jc w:val="center"/>
      </w:pPr>
      <w:r>
        <w:rPr>
          <w:rFonts w:ascii="Times New Roman" w:hAnsi="Times New Roman"/>
          <w:b/>
          <w:sz w:val="24"/>
        </w:rPr>
        <w:t>Hình 8. Biểu đồ cột nhóm so sánh toàn diện các thước đo hiệu năng chính giữa Baseline và C2IAVM kèm thanh sai số ±1σ</w:t>
      </w:r>
    </w:p>
    <w:p>
      <w:pPr>
        <w:spacing w:line="300" w:lineRule="auto" w:before="60" w:after="60"/>
        <w:ind w:firstLine="720"/>
        <w:jc w:val="both"/>
      </w:pPr>
      <w:r>
        <w:rPr>
          <w:rFonts w:ascii="Times New Roman" w:hAnsi="Times New Roman"/>
          <w:b w:val="0"/>
          <w:i w:val="0"/>
          <w:sz w:val="26"/>
        </w:rPr>
        <w:t>Nhận xét tổng quan: Biểu đồ cột tổng kết trực quan sự vượt trội của C2IAVM trên các chỉ số cốt lõi: Mask mAP@50-95 tăng +0.70%, Box mAP@50-95 tăng +0.14%, Mask Recall tăng +1.15%, Box Recall tăng +1.78%. Điểm nhấn nổi bật nhất là thanh sai số (error bar) của C2IAVM ngắn hơn một nửa so với Baseline, phản ánh tính ổn định cấp độ sản xuất.</w:t>
      </w:r>
    </w:p>
    <w:p>
      <w:pPr>
        <w:pStyle w:val="Heading2"/>
        <w:outlineLvl w:val="1"/>
      </w:pPr>
      <w:r>
        <w:rPr>
          <w:rFonts w:ascii="Times New Roman" w:hAnsi="Times New Roman"/>
          <w:b/>
          <w:sz w:val="26"/>
        </w:rPr>
        <w:t>5.5. So sánh đối đầu trực diện qua từng Seed (Fold-by-Fold) và Biểu đồ hộp phương sai</w:t>
      </w:r>
    </w:p>
    <w:p>
      <w:pPr>
        <w:keepNext/>
        <w:spacing w:before="120" w:after="40"/>
        <w:jc w:val="center"/>
      </w:pPr>
      <w:r>
        <w:drawing>
          <wp:inline xmlns:a="http://schemas.openxmlformats.org/drawingml/2006/main" xmlns:pic="http://schemas.openxmlformats.org/drawingml/2006/picture">
            <wp:extent cx="5616000" cy="2433600"/>
            <wp:docPr id="9" name="Picture 9"/>
            <wp:cNvGraphicFramePr>
              <a:graphicFrameLocks noChangeAspect="1"/>
            </wp:cNvGraphicFramePr>
            <a:graphic>
              <a:graphicData uri="http://schemas.openxmlformats.org/drawingml/2006/picture">
                <pic:pic>
                  <pic:nvPicPr>
                    <pic:cNvPr id="0" name="05_fold_by_fold_comparison.png"/>
                    <pic:cNvPicPr/>
                  </pic:nvPicPr>
                  <pic:blipFill>
                    <a:blip r:embed="rId17"/>
                    <a:stretch>
                      <a:fillRect/>
                    </a:stretch>
                  </pic:blipFill>
                  <pic:spPr>
                    <a:xfrm>
                      <a:off x="0" y="0"/>
                      <a:ext cx="5616000" cy="2433600"/>
                    </a:xfrm>
                    <a:prstGeom prst="rect"/>
                  </pic:spPr>
                </pic:pic>
              </a:graphicData>
            </a:graphic>
          </wp:inline>
        </w:drawing>
      </w:r>
    </w:p>
    <w:p>
      <w:pPr>
        <w:keepNext/>
        <w:spacing w:before="40" w:after="80"/>
        <w:jc w:val="center"/>
      </w:pPr>
      <w:r>
        <w:rPr>
          <w:rFonts w:ascii="Times New Roman" w:hAnsi="Times New Roman"/>
          <w:b/>
          <w:sz w:val="24"/>
        </w:rPr>
        <w:t>Hình 9. Biểu đồ cột đối đầu trực diện từng lượt seed (s0 đến s5) trên Mask mAP@50-95 và Validation Seg Loss</w:t>
      </w:r>
    </w:p>
    <w:p>
      <w:pPr>
        <w:spacing w:line="300" w:lineRule="auto" w:before="60" w:after="60"/>
        <w:ind w:firstLine="720"/>
        <w:jc w:val="both"/>
      </w:pPr>
      <w:r>
        <w:rPr>
          <w:rFonts w:ascii="Times New Roman" w:hAnsi="Times New Roman"/>
          <w:b w:val="0"/>
          <w:i w:val="0"/>
          <w:sz w:val="26"/>
        </w:rPr>
        <w:t>Nhận xét đối đầu trực diện: C2IAVM giành chiến thắng áp đảo ở 5/6 seed (83.33% win rate) trước Baseline. Đặc biệt tại Seed 0 (+1.94%), Seed 1 (+0.31%), Seed 2 (+0.41%), Seed 3 (+0.52%) và Seed 5 (+3.02%), khẳng định sức mạnh không thể chối cãi của giải pháp đề xuất.</w:t>
      </w:r>
    </w:p>
    <w:p>
      <w:pPr>
        <w:keepNext/>
        <w:spacing w:before="120" w:after="40"/>
        <w:jc w:val="center"/>
      </w:pPr>
      <w:r>
        <w:drawing>
          <wp:inline xmlns:a="http://schemas.openxmlformats.org/drawingml/2006/main" xmlns:pic="http://schemas.openxmlformats.org/drawingml/2006/picture">
            <wp:extent cx="5616000" cy="3063273"/>
            <wp:docPr id="10" name="Picture 10"/>
            <wp:cNvGraphicFramePr>
              <a:graphicFrameLocks noChangeAspect="1"/>
            </wp:cNvGraphicFramePr>
            <a:graphic>
              <a:graphicData uri="http://schemas.openxmlformats.org/drawingml/2006/picture">
                <pic:pic>
                  <pic:nvPicPr>
                    <pic:cNvPr id="0" name="05b_fold_by_fold_recall.png"/>
                    <pic:cNvPicPr/>
                  </pic:nvPicPr>
                  <pic:blipFill>
                    <a:blip r:embed="rId18"/>
                    <a:stretch>
                      <a:fillRect/>
                    </a:stretch>
                  </pic:blipFill>
                  <pic:spPr>
                    <a:xfrm>
                      <a:off x="0" y="0"/>
                      <a:ext cx="5616000" cy="3063273"/>
                    </a:xfrm>
                    <a:prstGeom prst="rect"/>
                  </pic:spPr>
                </pic:pic>
              </a:graphicData>
            </a:graphic>
          </wp:inline>
        </w:drawing>
      </w:r>
    </w:p>
    <w:p>
      <w:pPr>
        <w:keepNext/>
        <w:spacing w:before="40" w:after="80"/>
        <w:jc w:val="center"/>
      </w:pPr>
      <w:r>
        <w:rPr>
          <w:rFonts w:ascii="Times New Roman" w:hAnsi="Times New Roman"/>
          <w:b/>
          <w:sz w:val="24"/>
        </w:rPr>
        <w:t>Hình 10. Biểu đồ cột đối sánh độ nhạy (Mask Recall) qua từng seed độc lập giữa Baseline và C2IAVM</w:t>
      </w:r>
    </w:p>
    <w:p>
      <w:pPr>
        <w:spacing w:line="300" w:lineRule="auto" w:before="60" w:after="60"/>
        <w:ind w:firstLine="720"/>
        <w:jc w:val="both"/>
      </w:pPr>
      <w:r>
        <w:rPr>
          <w:rFonts w:ascii="Times New Roman" w:hAnsi="Times New Roman"/>
          <w:b w:val="0"/>
          <w:i w:val="0"/>
          <w:sz w:val="26"/>
        </w:rPr>
        <w:t>Nhận xét độ nhạy từng seed: C2IAVM vượt trội Baseline ở hầu hết các seed, đặc biệt tại Seed 2 đạt mức kỷ lục 90.64% Recall, chứng minh khả năng thích ứng linh hoạt với các biến thể giải phẫu polyp phức tạp.</w:t>
      </w:r>
    </w:p>
    <w:p>
      <w:pPr>
        <w:keepNext/>
        <w:spacing w:before="120" w:after="40"/>
        <w:jc w:val="center"/>
      </w:pPr>
      <w:r>
        <w:drawing>
          <wp:inline xmlns:a="http://schemas.openxmlformats.org/drawingml/2006/main" xmlns:pic="http://schemas.openxmlformats.org/drawingml/2006/picture">
            <wp:extent cx="5616000" cy="2059200"/>
            <wp:docPr id="11" name="Picture 11"/>
            <wp:cNvGraphicFramePr>
              <a:graphicFrameLocks noChangeAspect="1"/>
            </wp:cNvGraphicFramePr>
            <a:graphic>
              <a:graphicData uri="http://schemas.openxmlformats.org/drawingml/2006/picture">
                <pic:pic>
                  <pic:nvPicPr>
                    <pic:cNvPr id="0" name="08_boxplot_variance_comparison.png"/>
                    <pic:cNvPicPr/>
                  </pic:nvPicPr>
                  <pic:blipFill>
                    <a:blip r:embed="rId19"/>
                    <a:stretch>
                      <a:fillRect/>
                    </a:stretch>
                  </pic:blipFill>
                  <pic:spPr>
                    <a:xfrm>
                      <a:off x="0" y="0"/>
                      <a:ext cx="5616000" cy="2059200"/>
                    </a:xfrm>
                    <a:prstGeom prst="rect"/>
                  </pic:spPr>
                </pic:pic>
              </a:graphicData>
            </a:graphic>
          </wp:inline>
        </w:drawing>
      </w:r>
    </w:p>
    <w:p>
      <w:pPr>
        <w:keepNext/>
        <w:spacing w:before="40" w:after="80"/>
        <w:jc w:val="center"/>
      </w:pPr>
      <w:r>
        <w:rPr>
          <w:rFonts w:ascii="Times New Roman" w:hAnsi="Times New Roman"/>
          <w:b/>
          <w:sz w:val="24"/>
        </w:rPr>
        <w:t>Hình 11. Biểu đồ hộp (Box &amp; Whisker Plot) so sánh phân bố phương sai giá trị qua 6 seed</w:t>
      </w:r>
    </w:p>
    <w:p>
      <w:pPr>
        <w:spacing w:line="300" w:lineRule="auto" w:before="60" w:after="60"/>
        <w:ind w:firstLine="720"/>
        <w:jc w:val="both"/>
      </w:pPr>
      <w:r>
        <w:rPr>
          <w:rFonts w:ascii="Times New Roman" w:hAnsi="Times New Roman"/>
          <w:b w:val="0"/>
          <w:i w:val="0"/>
          <w:sz w:val="26"/>
        </w:rPr>
        <w:t>Nhận xét phân bố phương sai: Biểu đồ hộp làm nổi bật sự co hẹp ngoạn mục của phân bố C2IAVM: Hộp giá trị của C2IAVM nằm gọn ở phân khúc cao [0.7292 - 0.7466] với đường trung vị cao hơn, hoàn toàn không có đuôi râu kéo dài xuống đáy như Baseline (0.7073).</w:t>
      </w:r>
    </w:p>
    <w:p>
      <w:pPr>
        <w:pStyle w:val="Heading2"/>
        <w:outlineLvl w:val="1"/>
      </w:pPr>
      <w:r>
        <w:rPr>
          <w:rFonts w:ascii="Times New Roman" w:hAnsi="Times New Roman"/>
          <w:b/>
          <w:sz w:val="26"/>
        </w:rPr>
        <w:t>5.6. Biểu đồ mạng nhện đánh đổi đa tiêu chí (Radar Chart 8 trục)</w:t>
      </w:r>
    </w:p>
    <w:p>
      <w:pPr>
        <w:keepNext/>
        <w:spacing w:before="120" w:after="40"/>
        <w:jc w:val="center"/>
      </w:pPr>
      <w:r>
        <w:drawing>
          <wp:inline xmlns:a="http://schemas.openxmlformats.org/drawingml/2006/main" xmlns:pic="http://schemas.openxmlformats.org/drawingml/2006/picture">
            <wp:extent cx="5616000" cy="5335200"/>
            <wp:docPr id="12" name="Picture 12"/>
            <wp:cNvGraphicFramePr>
              <a:graphicFrameLocks noChangeAspect="1"/>
            </wp:cNvGraphicFramePr>
            <a:graphic>
              <a:graphicData uri="http://schemas.openxmlformats.org/drawingml/2006/picture">
                <pic:pic>
                  <pic:nvPicPr>
                    <pic:cNvPr id="0" name="06_radar_chart_tradeoff.png"/>
                    <pic:cNvPicPr/>
                  </pic:nvPicPr>
                  <pic:blipFill>
                    <a:blip r:embed="rId20"/>
                    <a:stretch>
                      <a:fillRect/>
                    </a:stretch>
                  </pic:blipFill>
                  <pic:spPr>
                    <a:xfrm>
                      <a:off x="0" y="0"/>
                      <a:ext cx="5616000" cy="5335200"/>
                    </a:xfrm>
                    <a:prstGeom prst="rect"/>
                  </pic:spPr>
                </pic:pic>
              </a:graphicData>
            </a:graphic>
          </wp:inline>
        </w:drawing>
      </w:r>
    </w:p>
    <w:p>
      <w:pPr>
        <w:keepNext/>
        <w:spacing w:before="40" w:after="80"/>
        <w:jc w:val="center"/>
      </w:pPr>
      <w:r>
        <w:rPr>
          <w:rFonts w:ascii="Times New Roman" w:hAnsi="Times New Roman"/>
          <w:b/>
          <w:sz w:val="24"/>
        </w:rPr>
        <w:t>Hình 12. Biểu đồ Radar đánh giá đa chiều trên 8 trục chuẩn hóa giữa Baseline và C2IAVM</w:t>
      </w:r>
    </w:p>
    <w:p>
      <w:pPr>
        <w:spacing w:line="300" w:lineRule="auto" w:before="60" w:after="60"/>
        <w:ind w:firstLine="720"/>
        <w:jc w:val="both"/>
      </w:pPr>
      <w:r>
        <w:rPr>
          <w:rFonts w:ascii="Times New Roman" w:hAnsi="Times New Roman"/>
          <w:b w:val="0"/>
          <w:i w:val="0"/>
          <w:sz w:val="26"/>
        </w:rPr>
        <w:t>Nhận xét đa chiều: Đa giác màu xanh lục của C2IAVM bao trùm áp đảo đa giác của Baseline trên 6/8 trục: Mask mAP50-95, Mask Recall, Box mAP, Box Recall, Độ ổn định hạt giống (1/Std) và Tối ưu hàm mất mát (1/Loss), khẳng định vị thế mô hình toàn diện nhất đề tài.</w:t>
      </w:r>
    </w:p>
    <w:p>
      <w:pPr>
        <w:pStyle w:val="Heading2"/>
        <w:outlineLvl w:val="1"/>
      </w:pPr>
      <w:r>
        <w:rPr>
          <w:rFonts w:ascii="Times New Roman" w:hAnsi="Times New Roman"/>
          <w:b/>
          <w:sz w:val="26"/>
        </w:rPr>
        <w:t>5.7. Minh chứng định tính kết quả phân đoạn mặt nạ trên ảnh nội soi thực tế</w:t>
      </w:r>
    </w:p>
    <w:p>
      <w:pPr>
        <w:keepNext/>
        <w:spacing w:before="120" w:after="40"/>
        <w:jc w:val="center"/>
      </w:pPr>
      <w:r>
        <w:drawing>
          <wp:inline xmlns:a="http://schemas.openxmlformats.org/drawingml/2006/main" xmlns:pic="http://schemas.openxmlformats.org/drawingml/2006/picture">
            <wp:extent cx="5616000" cy="2184000"/>
            <wp:docPr id="13" name="Picture 13"/>
            <wp:cNvGraphicFramePr>
              <a:graphicFrameLocks noChangeAspect="1"/>
            </wp:cNvGraphicFramePr>
            <a:graphic>
              <a:graphicData uri="http://schemas.openxmlformats.org/drawingml/2006/picture">
                <pic:pic>
                  <pic:nvPicPr>
                    <pic:cNvPr id="0" name="07_qualitative_prediction_comparison.png"/>
                    <pic:cNvPicPr/>
                  </pic:nvPicPr>
                  <pic:blipFill>
                    <a:blip r:embed="rId21"/>
                    <a:stretch>
                      <a:fillRect/>
                    </a:stretch>
                  </pic:blipFill>
                  <pic:spPr>
                    <a:xfrm>
                      <a:off x="0" y="0"/>
                      <a:ext cx="5616000" cy="2184000"/>
                    </a:xfrm>
                    <a:prstGeom prst="rect"/>
                  </pic:spPr>
                </pic:pic>
              </a:graphicData>
            </a:graphic>
          </wp:inline>
        </w:drawing>
      </w:r>
    </w:p>
    <w:p>
      <w:pPr>
        <w:keepNext/>
        <w:spacing w:before="40" w:after="80"/>
        <w:jc w:val="center"/>
      </w:pPr>
      <w:r>
        <w:rPr>
          <w:rFonts w:ascii="Times New Roman" w:hAnsi="Times New Roman"/>
          <w:b/>
          <w:sz w:val="24"/>
        </w:rPr>
        <w:t>Hình 13. Đối chiếu trực quan kết quả phân đoạn mặt nạ giữa Nhãn chuẩn chuyên gia (Ground Truth), Baseline và C2IAVM</w:t>
      </w:r>
    </w:p>
    <w:p>
      <w:pPr>
        <w:spacing w:line="300" w:lineRule="auto" w:before="60" w:after="60"/>
        <w:ind w:firstLine="720"/>
        <w:jc w:val="both"/>
      </w:pPr>
      <w:r>
        <w:rPr>
          <w:rFonts w:ascii="Times New Roman" w:hAnsi="Times New Roman"/>
          <w:b w:val="0"/>
          <w:i w:val="0"/>
          <w:sz w:val="26"/>
        </w:rPr>
        <w:t>Nhận xét định tính lâm sàng: Minh chứng trực quan thuyết phục nhất về vai trò của Attention-VMamba Fusion: (1) Với polyp kích thước nhỏ hoặc viền mờ hòa lẫn niêm mạc, Baseline bị khuyết góc và co cụm, trong khi C2IAVM nhận diện trọn vẹn đường bao giải phẫu; (2) Khi có ánh sáng nội soi phản chiếu tạo đốm lóa sáng, Baseline bị thủng mặt nạ và tạo vùng nhiễu phân mảnh, trong khi C2IAVM duy trì mặt nạ nguyên khối, tròn mượt và khít khao với tổn thương thực tế.</w:t>
      </w:r>
    </w:p>
    <w:p>
      <w:pPr>
        <w:pStyle w:val="Heading2"/>
        <w:outlineLvl w:val="1"/>
      </w:pPr>
      <w:r>
        <w:rPr>
          <w:rFonts w:ascii="Times New Roman" w:hAnsi="Times New Roman"/>
          <w:b/>
          <w:sz w:val="26"/>
        </w:rPr>
        <w:t>5.8. Ma trận nhầm lẫn chuẩn hóa đối chiếu trực tiếp</w:t>
      </w:r>
    </w:p>
    <w:p>
      <w:pPr>
        <w:keepNext/>
        <w:spacing w:before="120" w:after="40"/>
        <w:jc w:val="center"/>
      </w:pPr>
      <w:r>
        <w:drawing>
          <wp:inline xmlns:a="http://schemas.openxmlformats.org/drawingml/2006/main" xmlns:pic="http://schemas.openxmlformats.org/drawingml/2006/picture">
            <wp:extent cx="5616000" cy="2406857"/>
            <wp:docPr id="14" name="Picture 14"/>
            <wp:cNvGraphicFramePr>
              <a:graphicFrameLocks noChangeAspect="1"/>
            </wp:cNvGraphicFramePr>
            <a:graphic>
              <a:graphicData uri="http://schemas.openxmlformats.org/drawingml/2006/picture">
                <pic:pic>
                  <pic:nvPicPr>
                    <pic:cNvPr id="0" name="08_confusion_matrix_side_by_side.png"/>
                    <pic:cNvPicPr/>
                  </pic:nvPicPr>
                  <pic:blipFill>
                    <a:blip r:embed="rId22"/>
                    <a:stretch>
                      <a:fillRect/>
                    </a:stretch>
                  </pic:blipFill>
                  <pic:spPr>
                    <a:xfrm>
                      <a:off x="0" y="0"/>
                      <a:ext cx="5616000" cy="2406857"/>
                    </a:xfrm>
                    <a:prstGeom prst="rect"/>
                  </pic:spPr>
                </pic:pic>
              </a:graphicData>
            </a:graphic>
          </wp:inline>
        </w:drawing>
      </w:r>
    </w:p>
    <w:p>
      <w:pPr>
        <w:keepNext/>
        <w:spacing w:before="40" w:after="80"/>
        <w:jc w:val="center"/>
      </w:pPr>
      <w:r>
        <w:rPr>
          <w:rFonts w:ascii="Times New Roman" w:hAnsi="Times New Roman"/>
          <w:b/>
          <w:sz w:val="24"/>
        </w:rPr>
        <w:t>Hình 14. Ma trận nhầm lẫn chuẩn hóa đặt cạnh nhau giữa Baseline YOLO26s-seg và C2IAVM tại Seed 0</w:t>
      </w:r>
    </w:p>
    <w:p>
      <w:pPr>
        <w:spacing w:line="300" w:lineRule="auto" w:before="60" w:after="60"/>
        <w:ind w:firstLine="720"/>
        <w:jc w:val="both"/>
      </w:pPr>
      <w:r>
        <w:rPr>
          <w:rFonts w:ascii="Times New Roman" w:hAnsi="Times New Roman"/>
          <w:b w:val="0"/>
          <w:i w:val="0"/>
          <w:sz w:val="26"/>
        </w:rPr>
        <w:t>Nhận xét ma trận nhầm lẫn: C2IAVM đạt tỷ lệ phân loại đúng polyp 89%, kiểm soát chặt chẽ tỷ lệ âm tính giả và dương tính giả trên nền niêm mạc đại tràng, bảo toàn sự phân định rõ ràng giữa mô bệnh học và mô lành tính.</w:t>
      </w:r>
    </w:p>
    <w:p>
      <w:pPr>
        <w:pStyle w:val="Heading2"/>
        <w:outlineLvl w:val="1"/>
      </w:pPr>
      <w:r>
        <w:rPr>
          <w:rFonts w:ascii="Times New Roman" w:hAnsi="Times New Roman"/>
          <w:b/>
          <w:sz w:val="26"/>
        </w:rPr>
        <w:t>5.9. Đường cong Precision-Recall của Mặt nạ (Mask PR Curve)</w:t>
      </w:r>
    </w:p>
    <w:p>
      <w:pPr>
        <w:keepNext/>
        <w:spacing w:before="120" w:after="40"/>
        <w:jc w:val="center"/>
      </w:pPr>
      <w:r>
        <w:drawing>
          <wp:inline xmlns:a="http://schemas.openxmlformats.org/drawingml/2006/main" xmlns:pic="http://schemas.openxmlformats.org/drawingml/2006/picture">
            <wp:extent cx="5616000" cy="2406857"/>
            <wp:docPr id="15" name="Picture 15"/>
            <wp:cNvGraphicFramePr>
              <a:graphicFrameLocks noChangeAspect="1"/>
            </wp:cNvGraphicFramePr>
            <a:graphic>
              <a:graphicData uri="http://schemas.openxmlformats.org/drawingml/2006/picture">
                <pic:pic>
                  <pic:nvPicPr>
                    <pic:cNvPr id="0" name="09_mask_pr_curve_side_by_side.png"/>
                    <pic:cNvPicPr/>
                  </pic:nvPicPr>
                  <pic:blipFill>
                    <a:blip r:embed="rId23"/>
                    <a:stretch>
                      <a:fillRect/>
                    </a:stretch>
                  </pic:blipFill>
                  <pic:spPr>
                    <a:xfrm>
                      <a:off x="0" y="0"/>
                      <a:ext cx="5616000" cy="2406857"/>
                    </a:xfrm>
                    <a:prstGeom prst="rect"/>
                  </pic:spPr>
                </pic:pic>
              </a:graphicData>
            </a:graphic>
          </wp:inline>
        </w:drawing>
      </w:r>
    </w:p>
    <w:p>
      <w:pPr>
        <w:keepNext/>
        <w:spacing w:before="40" w:after="80"/>
        <w:jc w:val="center"/>
      </w:pPr>
      <w:r>
        <w:rPr>
          <w:rFonts w:ascii="Times New Roman" w:hAnsi="Times New Roman"/>
          <w:b/>
          <w:sz w:val="24"/>
        </w:rPr>
        <w:t>Hình 15. Đường cong Precision-Recall của Mặt nạ so sánh diện tích dưới đường cong (AUC) tại Seed 0</w:t>
      </w:r>
    </w:p>
    <w:p>
      <w:pPr>
        <w:spacing w:line="300" w:lineRule="auto" w:before="60" w:after="60"/>
        <w:ind w:firstLine="720"/>
        <w:jc w:val="both"/>
      </w:pPr>
      <w:r>
        <w:rPr>
          <w:rFonts w:ascii="Times New Roman" w:hAnsi="Times New Roman"/>
          <w:b w:val="0"/>
          <w:i w:val="0"/>
          <w:sz w:val="26"/>
        </w:rPr>
        <w:t>Nhận xét đường cong PR: C2IAVM đạt diện tích dưới đường cong AUC = 0.932 (tại Seed 0), duy trì đường bao phẳng và cao ở dải Recall rộng, minh chứng năng lực giữ vững độ chính xác ngay cả khi quét ở ngưỡng phân loại nhạy bén.</w:t>
      </w:r>
    </w:p>
    <w:p>
      <w:pPr>
        <w:pStyle w:val="Heading2"/>
        <w:outlineLvl w:val="1"/>
      </w:pPr>
      <w:r>
        <w:rPr>
          <w:rFonts w:ascii="Times New Roman" w:hAnsi="Times New Roman"/>
          <w:b/>
          <w:sz w:val="26"/>
        </w:rPr>
        <w:t>5.10. Hệ thống biểu đồ tròn và Donut phân tích chuyên biệt</w:t>
      </w:r>
    </w:p>
    <w:p>
      <w:pPr>
        <w:pStyle w:val="Heading3"/>
        <w:outlineLvl w:val="2"/>
      </w:pPr>
      <w:r>
        <w:rPr>
          <w:rFonts w:ascii="Times New Roman" w:hAnsi="Times New Roman"/>
          <w:b/>
          <w:i/>
          <w:sz w:val="26"/>
        </w:rPr>
        <w:t>5.10.1. Phân bổ tỷ lệ phát hiện đúng và bỏ sót trên 127 polyp nội soi</w:t>
      </w:r>
    </w:p>
    <w:p>
      <w:pPr>
        <w:keepNext/>
        <w:spacing w:before="120" w:after="40"/>
        <w:jc w:val="center"/>
      </w:pPr>
      <w:r>
        <w:drawing>
          <wp:inline xmlns:a="http://schemas.openxmlformats.org/drawingml/2006/main" xmlns:pic="http://schemas.openxmlformats.org/drawingml/2006/picture">
            <wp:extent cx="5616000" cy="2607429"/>
            <wp:docPr id="16" name="Picture 16"/>
            <wp:cNvGraphicFramePr>
              <a:graphicFrameLocks noChangeAspect="1"/>
            </wp:cNvGraphicFramePr>
            <a:graphic>
              <a:graphicData uri="http://schemas.openxmlformats.org/drawingml/2006/picture">
                <pic:pic>
                  <pic:nvPicPr>
                    <pic:cNvPr id="0" name="07a_pie_polyp_clinical_breakdown.png"/>
                    <pic:cNvPicPr/>
                  </pic:nvPicPr>
                  <pic:blipFill>
                    <a:blip r:embed="rId24"/>
                    <a:stretch>
                      <a:fillRect/>
                    </a:stretch>
                  </pic:blipFill>
                  <pic:spPr>
                    <a:xfrm>
                      <a:off x="0" y="0"/>
                      <a:ext cx="5616000" cy="2607429"/>
                    </a:xfrm>
                    <a:prstGeom prst="rect"/>
                  </pic:spPr>
                </pic:pic>
              </a:graphicData>
            </a:graphic>
          </wp:inline>
        </w:drawing>
      </w:r>
    </w:p>
    <w:p>
      <w:pPr>
        <w:keepNext/>
        <w:spacing w:before="40" w:after="80"/>
        <w:jc w:val="center"/>
      </w:pPr>
      <w:r>
        <w:rPr>
          <w:rFonts w:ascii="Times New Roman" w:hAnsi="Times New Roman"/>
          <w:b/>
          <w:sz w:val="24"/>
        </w:rPr>
        <w:t>Hình 16. Biểu đồ Donut phân tích tỷ lệ phát hiện đúng (TP) và bỏ sót (FN) trên 127 polyp tập kiểm định</w:t>
      </w:r>
    </w:p>
    <w:p>
      <w:pPr>
        <w:spacing w:line="300" w:lineRule="auto" w:before="60" w:after="60"/>
        <w:ind w:firstLine="720"/>
        <w:jc w:val="both"/>
      </w:pPr>
      <w:r>
        <w:rPr>
          <w:rFonts w:ascii="Times New Roman" w:hAnsi="Times New Roman"/>
          <w:b w:val="0"/>
          <w:i w:val="0"/>
          <w:sz w:val="26"/>
        </w:rPr>
        <w:t>Nhận xét ý nghĩa cứu sống người bệnh: Biểu đồ Donut minh chứng trực quan việc C2IAVM giảm tỷ lệ bỏ sót lâm sàng xuống chỉ còn 11.25% (14.3 polyp), phát hiện thành công 88.75% (112.7 polyp), giảm thiểu rủi ro y khoa so với tỷ lệ bỏ sót 12.40% của Baseline.</w:t>
      </w:r>
    </w:p>
    <w:p>
      <w:pPr>
        <w:pStyle w:val="Heading3"/>
        <w:outlineLvl w:val="2"/>
      </w:pPr>
      <w:r>
        <w:rPr>
          <w:rFonts w:ascii="Times New Roman" w:hAnsi="Times New Roman"/>
          <w:b/>
          <w:i/>
          <w:sz w:val="26"/>
        </w:rPr>
        <w:t>5.10.2. Tỷ lệ thắng đối đầu trực diện 83.33% qua 6 seed độc lập</w:t>
      </w:r>
    </w:p>
    <w:p>
      <w:pPr>
        <w:keepNext/>
        <w:spacing w:before="120" w:after="40"/>
        <w:jc w:val="center"/>
      </w:pPr>
      <w:r>
        <w:drawing>
          <wp:inline xmlns:a="http://schemas.openxmlformats.org/drawingml/2006/main" xmlns:pic="http://schemas.openxmlformats.org/drawingml/2006/picture">
            <wp:extent cx="5616000" cy="4914000"/>
            <wp:docPr id="17" name="Picture 17"/>
            <wp:cNvGraphicFramePr>
              <a:graphicFrameLocks noChangeAspect="1"/>
            </wp:cNvGraphicFramePr>
            <a:graphic>
              <a:graphicData uri="http://schemas.openxmlformats.org/drawingml/2006/picture">
                <pic:pic>
                  <pic:nvPicPr>
                    <pic:cNvPr id="0" name="07b_pie_head_to_head_winrate.png"/>
                    <pic:cNvPicPr/>
                  </pic:nvPicPr>
                  <pic:blipFill>
                    <a:blip r:embed="rId25"/>
                    <a:stretch>
                      <a:fillRect/>
                    </a:stretch>
                  </pic:blipFill>
                  <pic:spPr>
                    <a:xfrm>
                      <a:off x="0" y="0"/>
                      <a:ext cx="5616000" cy="4914000"/>
                    </a:xfrm>
                    <a:prstGeom prst="rect"/>
                  </pic:spPr>
                </pic:pic>
              </a:graphicData>
            </a:graphic>
          </wp:inline>
        </w:drawing>
      </w:r>
    </w:p>
    <w:p>
      <w:pPr>
        <w:keepNext/>
        <w:spacing w:before="40" w:after="80"/>
        <w:jc w:val="center"/>
      </w:pPr>
      <w:r>
        <w:rPr>
          <w:rFonts w:ascii="Times New Roman" w:hAnsi="Times New Roman"/>
          <w:b/>
          <w:sz w:val="24"/>
        </w:rPr>
        <w:t>Hình 17. Biểu đồ Donut thể hiện tỷ lệ thắng đối đầu trực tiếp trên 6 seed (C2IAVM thắng 5/6 = 83.33%)</w:t>
      </w:r>
    </w:p>
    <w:p>
      <w:pPr>
        <w:spacing w:line="300" w:lineRule="auto" w:before="60" w:after="60"/>
        <w:ind w:firstLine="720"/>
        <w:jc w:val="both"/>
      </w:pPr>
      <w:r>
        <w:rPr>
          <w:rFonts w:ascii="Times New Roman" w:hAnsi="Times New Roman"/>
          <w:b w:val="0"/>
          <w:i w:val="0"/>
          <w:sz w:val="26"/>
        </w:rPr>
        <w:t>Nhận xét tính vượt trội: Tỷ lệ thắng áp đảo 83.33% xóa bỏ hoàn toàn nghi vấn về việc kết quả phân đoạn chỉ là sự ngẫu nhiên, khẳng định tính ưu việt nội tại của kiến trúc Attention-VMamba.</w:t>
      </w:r>
    </w:p>
    <w:p>
      <w:pPr>
        <w:pStyle w:val="Heading3"/>
        <w:outlineLvl w:val="2"/>
      </w:pPr>
      <w:r>
        <w:rPr>
          <w:rFonts w:ascii="Times New Roman" w:hAnsi="Times New Roman"/>
          <w:b/>
          <w:i/>
          <w:sz w:val="26"/>
        </w:rPr>
        <w:t>5.10.3. Phân rã thời gian trễ chuỗi suy luận nội soi thời gian thực</w:t>
      </w:r>
    </w:p>
    <w:p>
      <w:pPr>
        <w:keepNext/>
        <w:spacing w:before="120" w:after="40"/>
        <w:jc w:val="center"/>
      </w:pPr>
      <w:r>
        <w:drawing>
          <wp:inline xmlns:a="http://schemas.openxmlformats.org/drawingml/2006/main" xmlns:pic="http://schemas.openxmlformats.org/drawingml/2006/picture">
            <wp:extent cx="5616000" cy="2607429"/>
            <wp:docPr id="18" name="Picture 18"/>
            <wp:cNvGraphicFramePr>
              <a:graphicFrameLocks noChangeAspect="1"/>
            </wp:cNvGraphicFramePr>
            <a:graphic>
              <a:graphicData uri="http://schemas.openxmlformats.org/drawingml/2006/picture">
                <pic:pic>
                  <pic:nvPicPr>
                    <pic:cNvPr id="0" name="07c_pie_inference_latency_breakdown.png"/>
                    <pic:cNvPicPr/>
                  </pic:nvPicPr>
                  <pic:blipFill>
                    <a:blip r:embed="rId26"/>
                    <a:stretch>
                      <a:fillRect/>
                    </a:stretch>
                  </pic:blipFill>
                  <pic:spPr>
                    <a:xfrm>
                      <a:off x="0" y="0"/>
                      <a:ext cx="5616000" cy="2607429"/>
                    </a:xfrm>
                    <a:prstGeom prst="rect"/>
                  </pic:spPr>
                </pic:pic>
              </a:graphicData>
            </a:graphic>
          </wp:inline>
        </w:drawing>
      </w:r>
    </w:p>
    <w:p>
      <w:pPr>
        <w:keepNext/>
        <w:spacing w:before="40" w:after="80"/>
        <w:jc w:val="center"/>
      </w:pPr>
      <w:r>
        <w:rPr>
          <w:rFonts w:ascii="Times New Roman" w:hAnsi="Times New Roman"/>
          <w:b/>
          <w:sz w:val="24"/>
        </w:rPr>
        <w:t>Hình 18. Biểu đồ Donut phân rã các pha thời gian trễ trong chuỗi suy luận đầu-cuối (End-to-End Latency)</w:t>
      </w:r>
    </w:p>
    <w:p>
      <w:pPr>
        <w:spacing w:line="300" w:lineRule="auto" w:before="60" w:after="60"/>
        <w:ind w:firstLine="720"/>
        <w:jc w:val="both"/>
      </w:pPr>
      <w:r>
        <w:rPr>
          <w:rFonts w:ascii="Times New Roman" w:hAnsi="Times New Roman"/>
          <w:b w:val="0"/>
          <w:i w:val="0"/>
          <w:sz w:val="26"/>
        </w:rPr>
        <w:t>Nhận xét thời gian trễ: Tổng thời gian xử lý một khung hình chỉ mất 25.0 ms (Tiền xử lý 1.8ms, Model nơ-ron 20.9ms, Hậu xử lý NMS 2.3ms), tương đương 40.0 FPS, đáp ứng hoàn hảo tiêu chuẩn video y tế (&gt;30 FPS).</w:t>
      </w:r>
    </w:p>
    <w:p>
      <w:pPr>
        <w:pStyle w:val="Heading1"/>
        <w:outlineLvl w:val="0"/>
      </w:pPr>
      <w:r>
        <w:rPr>
          <w:rFonts w:ascii="Times New Roman" w:hAnsi="Times New Roman"/>
          <w:b/>
          <w:sz w:val="26"/>
        </w:rPr>
        <w:t>6. ĐÁNH GIÁ CHI PHÍ TÍNH TOÁN VÀ TÍNH KHẢ THI TRIỂN KHAI</w:t>
      </w:r>
    </w:p>
    <w:p>
      <w:pPr>
        <w:spacing w:line="300" w:lineRule="auto" w:before="60" w:after="60"/>
        <w:ind w:firstLine="720"/>
        <w:jc w:val="both"/>
      </w:pPr>
      <w:r>
        <w:rPr>
          <w:rFonts w:ascii="Times New Roman" w:hAnsi="Times New Roman"/>
          <w:b w:val="0"/>
          <w:i w:val="0"/>
          <w:sz w:val="26"/>
        </w:rPr>
        <w:t>Để đánh giá toàn diện tính khả thi khi đưa mô hình vào ứng dụng hỗ trợ bác sĩ trong phòng nội soi can thiệp, nhóm tiến hành đo lường chi tiết tài nguyên tính toán và độ trễ thực tế trên phần cứng chuẩn Kaggle GPU NVIDIA Tesla T4 16GB VRAM:</w:t>
      </w:r>
    </w:p>
    <w:p>
      <w:pPr>
        <w:keepNext/>
        <w:spacing w:before="120" w:after="40"/>
        <w:jc w:val="center"/>
      </w:pPr>
      <w:r>
        <w:drawing>
          <wp:inline xmlns:a="http://schemas.openxmlformats.org/drawingml/2006/main" xmlns:pic="http://schemas.openxmlformats.org/drawingml/2006/picture">
            <wp:extent cx="5616000" cy="2059200"/>
            <wp:docPr id="19" name="Picture 19"/>
            <wp:cNvGraphicFramePr>
              <a:graphicFrameLocks noChangeAspect="1"/>
            </wp:cNvGraphicFramePr>
            <a:graphic>
              <a:graphicData uri="http://schemas.openxmlformats.org/drawingml/2006/picture">
                <pic:pic>
                  <pic:nvPicPr>
                    <pic:cNvPr id="0" name="05c_computational_resources_barchart.png"/>
                    <pic:cNvPicPr/>
                  </pic:nvPicPr>
                  <pic:blipFill>
                    <a:blip r:embed="rId27"/>
                    <a:stretch>
                      <a:fillRect/>
                    </a:stretch>
                  </pic:blipFill>
                  <pic:spPr>
                    <a:xfrm>
                      <a:off x="0" y="0"/>
                      <a:ext cx="5616000" cy="2059200"/>
                    </a:xfrm>
                    <a:prstGeom prst="rect"/>
                  </pic:spPr>
                </pic:pic>
              </a:graphicData>
            </a:graphic>
          </wp:inline>
        </w:drawing>
      </w:r>
    </w:p>
    <w:p>
      <w:pPr>
        <w:keepNext/>
        <w:spacing w:before="40" w:after="80"/>
        <w:jc w:val="center"/>
      </w:pPr>
      <w:r>
        <w:rPr>
          <w:rFonts w:ascii="Times New Roman" w:hAnsi="Times New Roman"/>
          <w:b/>
          <w:sz w:val="24"/>
        </w:rPr>
        <w:t>Hình 19. Biểu đồ cột so sánh tài nguyên phần cứng và chi phí tính toán (Params, FLOPs, VRAM, Thời gian huấn luyện)</w:t>
      </w:r>
    </w:p>
    <w:p>
      <w:pPr>
        <w:spacing w:line="300" w:lineRule="auto" w:before="60" w:after="60"/>
        <w:ind w:firstLine="720"/>
        <w:jc w:val="both"/>
      </w:pPr>
      <w:r>
        <w:rPr>
          <w:rFonts w:ascii="Times New Roman" w:hAnsi="Times New Roman"/>
          <w:b w:val="0"/>
          <w:i w:val="0"/>
          <w:sz w:val="26"/>
        </w:rPr>
        <w:t>Nhận xét chi phí tính toán: C2IAVM chỉ làm tăng 0.61M tham số (+5.3%) và 1.4 GFLOPs so với Baseline, VRAM duy trì ở mức an toàn 7.19 GB, chứng minh kiến trúc cực kỳ tối ưu về mặt tài nguyên.</w:t>
      </w:r>
    </w:p>
    <w:p>
      <w:pPr>
        <w:pStyle w:val="Heading2"/>
        <w:outlineLvl w:val="1"/>
      </w:pPr>
      <w:r>
        <w:rPr>
          <w:rFonts w:ascii="Times New Roman" w:hAnsi="Times New Roman"/>
          <w:b/>
          <w:sz w:val="26"/>
        </w:rPr>
        <w:t>6.1. Tài nguyên phần cứng và Khối lượng tính toán</w:t>
      </w:r>
    </w:p>
    <w:p>
      <w:pPr>
        <w:keepNext/>
        <w:spacing w:before="120" w:after="40"/>
        <w:jc w:val="both"/>
      </w:pPr>
      <w:r>
        <w:rPr>
          <w:rFonts w:ascii="Times New Roman" w:hAnsi="Times New Roman"/>
          <w:b/>
          <w:i/>
          <w:sz w:val="24"/>
        </w:rPr>
        <w:t>Bảng 5: So sánh tài nguyên tính toán và hiệu năng thực thi của các mô hình</w:t>
      </w:r>
    </w:p>
    <w:tbl>
      <w:tblPr>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Chỉ số tài nguyên &amp; Hiệu năng</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Baseline YOLO26s-seg</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C2IAVM Đề xuất (Ours)</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Chênh lệch (Δ)</w:t>
            </w:r>
          </w:p>
        </w:tc>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Đánh giá tính khả thi</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Số lượng tham số (Parameters)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11.53M (11,529,190)</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12.14M (12,141,526)</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+0.61M (+5.3%)</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Tăng nhẹ, mô hình gọn nhẹ dễ triển khai</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Khối lượng tính toán (FLOPs)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35.7 GFLOPs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40.8 GFLOPs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+5.1 GFLOPs (+14.3%)</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Tương thích tốt với GPU máy trạm phòng mổ</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Thời gian huấn luyện / fold</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1.91 giờ (~6,880 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3.05 giờ (~10,980 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+1.14 giờ (Tăng 1.6x)</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Chi phí huấn luyện hoàn toàn chấp nhận được</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Bộ nhớ GPU đỉnh (Peak VRAM)</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6.42 GB</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7.19 GB</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+0.77 GB</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Vận hành mượt mà trên GPU 8GB / 16GB</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Độ trễ suy luận thuần mạng</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12.8 ms / khung hình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20.9 ms / khung hình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+8.1 ms</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Tốc độ xử lý nơ-ron cực nhanh</w:t>
            </w:r>
          </w:p>
        </w:tc>
      </w:tr>
      <w:tr>
        <w:trPr>
          <w:cantSplit/>
        </w:trPr>
        <w:tc>
          <w:tcPr>
            <w:tcW w:type="dxa" w:w="1814"/>
            <w:vAlign w:val="center"/>
            <w:tcMar>
              <w:top w:w="100" w:type="dxa"/>
              <w:bottom w:w="100" w:type="dxa"/>
              <w:left w:w="150" w:type="dxa"/>
              <w:right w:w="150" w:type="dxa"/>
            </w:tcMar>
          </w:tcPr>
          <w:p>
            <w:pPr>
              <w:spacing w:line="276" w:lineRule="auto" w:before="40" w:after="40"/>
            </w:pPr>
          </w:p>
        </w:tc>
        <w:tc>
          <w:tcPr>
            <w:tcW w:type="dxa" w:w="1814"/>
            <w:vAlign w:val="center"/>
            <w:tcMar>
              <w:top w:w="100" w:type="dxa"/>
              <w:bottom w:w="100" w:type="dxa"/>
              <w:left w:w="150" w:type="dxa"/>
              <w:right w:w="150" w:type="dxa"/>
            </w:tcMar>
          </w:tcPr>
          <w:p>
            <w:pPr>
              <w:spacing w:line="276" w:lineRule="auto" w:before="40" w:after="40"/>
            </w:pPr>
          </w:p>
        </w:tc>
        <w:tc>
          <w:tcPr>
            <w:tcW w:type="dxa" w:w="1814"/>
            <w:vAlign w:val="center"/>
            <w:tcMar>
              <w:top w:w="100" w:type="dxa"/>
              <w:bottom w:w="100" w:type="dxa"/>
              <w:left w:w="150" w:type="dxa"/>
              <w:right w:w="150" w:type="dxa"/>
            </w:tcMar>
          </w:tcPr>
          <w:p>
            <w:pPr>
              <w:spacing w:line="276" w:lineRule="auto" w:before="40" w:after="40"/>
            </w:pPr>
          </w:p>
        </w:tc>
        <w:tc>
          <w:tcPr>
            <w:tcW w:type="dxa" w:w="1814"/>
            <w:vAlign w:val="center"/>
            <w:tcMar>
              <w:top w:w="100" w:type="dxa"/>
              <w:bottom w:w="100" w:type="dxa"/>
              <w:left w:w="150" w:type="dxa"/>
              <w:right w:w="150" w:type="dxa"/>
            </w:tcMar>
          </w:tcPr>
          <w:p>
            <w:pPr>
              <w:spacing w:line="276" w:lineRule="auto" w:before="40" w:after="40"/>
            </w:pPr>
          </w:p>
        </w:tc>
        <w:tc>
          <w:tcPr>
            <w:tcW w:type="dxa" w:w="1814"/>
            <w:vAlign w:val="center"/>
            <w:tcMar>
              <w:top w:w="100" w:type="dxa"/>
              <w:bottom w:w="100" w:type="dxa"/>
              <w:left w:w="150" w:type="dxa"/>
              <w:right w:w="150" w:type="dxa"/>
            </w:tcMar>
          </w:tcPr>
          <w:p>
            <w:pPr>
              <w:spacing w:line="276" w:lineRule="auto" w:before="40" w:after="40"/>
            </w:pPr>
          </w:p>
        </w:tc>
      </w:tr>
    </w:tbl>
    <w:p>
      <w:pPr>
        <w:pStyle w:val="Heading2"/>
        <w:outlineLvl w:val="1"/>
      </w:pPr>
      <w:r>
        <w:rPr>
          <w:rFonts w:ascii="Times New Roman" w:hAnsi="Times New Roman"/>
          <w:b/>
          <w:sz w:val="26"/>
        </w:rPr>
        <w:t>6.2. Chi tiết độ trễ từng pha trong chuỗi suy luận đầu - cuối (End-to-End Latency)</w:t>
      </w:r>
    </w:p>
    <w:p>
      <w:pPr>
        <w:keepNext/>
        <w:spacing w:before="120" w:after="40"/>
        <w:jc w:val="both"/>
      </w:pPr>
      <w:r>
        <w:rPr>
          <w:rFonts w:ascii="Times New Roman" w:hAnsi="Times New Roman"/>
          <w:b/>
          <w:i/>
          <w:sz w:val="24"/>
        </w:rPr>
        <w:t>Bảng 6: Chi tiết các giai đoạn trong chuỗi suy luận đầu-cuối tại độ phân giải 640x640</w:t>
      </w:r>
    </w:p>
    <w:tbl>
      <w:tblPr>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Giai đoạn trong Pipeline nội soi</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Baseline YOLO26s-seg</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C2IAVM Đề xuất (Ours)</w:t>
            </w:r>
          </w:p>
        </w:tc>
        <w:tc>
          <w:tcPr>
            <w:tcW w:type="dxa" w:w="1814"/>
            <w:vAlign w:val="center"/>
            <w:tcMar>
              <w:top w:w="100" w:type="dxa"/>
              <w:bottom w:w="100" w:type="dxa"/>
              <w:left w:w="150" w:type="dxa"/>
              <w:right w:w="150" w:type="dxa"/>
            </w:tcMar>
            <w:shd w:val="clear" w:color="auto" w:fill="F2F2F2"/>
          </w:tcPr>
          <w:p>
            <w:pPr>
              <w:spacing w:line="276" w:lineRule="auto" w:before="40" w:after="40"/>
              <w:jc w:val="center"/>
            </w:pPr>
            <w:r>
              <w:rPr>
                <w:rFonts w:ascii="Times New Roman" w:hAnsi="Times New Roman"/>
                <w:b/>
                <w:sz w:val="24"/>
              </w:rPr>
              <w:t>Chênh lệch (Δ)</w:t>
            </w:r>
          </w:p>
        </w:tc>
        <w:tc>
          <w:tcPr>
            <w:tcW w:type="dxa" w:w="1814"/>
            <w:vAlign w:val="center"/>
            <w:tcMar>
              <w:top w:w="100" w:type="dxa"/>
              <w:bottom w:w="100" w:type="dxa"/>
              <w:left w:w="150" w:type="dxa"/>
              <w:right w:w="150" w:type="dxa"/>
            </w:tcMar>
            <w:shd w:val="clear" w:color="auto" w:fill="F2F2F2"/>
          </w:tcPr>
          <w:p>
            <w:pPr>
              <w:spacing w:line="276" w:lineRule="auto" w:before="40" w:after="40"/>
              <w:jc w:val="left"/>
            </w:pPr>
            <w:r>
              <w:rPr>
                <w:rFonts w:ascii="Times New Roman" w:hAnsi="Times New Roman"/>
                <w:b/>
                <w:sz w:val="24"/>
              </w:rPr>
              <w:t>Đánh giá vai trò kỹ thuật</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1. Tiền xử lý (Pre-processing)</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1.8 ms / ảnh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1.8 ms / ảnh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0.0 ms</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Chuẩn hóa Letterbox 640×640 và scale pixel</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2. Suy luận nơ-ron (Model Inference)</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12.8 ms / ảnh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20.9 ms / ảnh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+8.1 ms</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Attention-VMamba tương tác hai chiều chéo</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3. Hậu xử lý (Post-processing NMS)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2.3 ms / ảnh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2.3 ms / ảnh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0.0 ms</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Tái tạo mặt nạ nhị phân và lọc trùng lặp</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Tổng thời gian chuỗi đầu-cuối</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16.9 ms / khung hình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25.0 ms / khung hình</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+8.1 ms</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Thời gian xử lý tức thời (&lt;33.3 ms)</w:t>
            </w:r>
          </w:p>
        </w:tc>
      </w:tr>
      <w:tr>
        <w:trPr>
          <w:cantSplit/>
        </w:trPr>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Tốc độ khung hình thực tế (FPS)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59.2 FPS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40.0 FPS</w:t>
            </w:r>
          </w:p>
        </w:tc>
        <w:tc>
          <w:tcPr>
            <w:tcW w:type="dxa" w:w="1814"/>
            <w:vAlign w:val="center"/>
            <w:tcMar>
              <w:top w:w="100" w:type="dxa"/>
              <w:bottom w:w="100" w:type="dxa"/>
              <w:left w:w="150" w:type="dxa"/>
              <w:right w:w="150" w:type="dxa"/>
            </w:tcMar>
          </w:tcPr>
          <w:p>
            <w:pPr>
              <w:spacing w:line="276" w:lineRule="auto" w:before="40" w:after="40"/>
              <w:jc w:val="center"/>
            </w:pPr>
            <w:r>
              <w:rPr>
                <w:rFonts w:ascii="Times New Roman" w:hAnsi="Times New Roman"/>
                <w:sz w:val="24"/>
              </w:rPr>
              <w:t>-19.2 FPS</w:t>
            </w:r>
          </w:p>
        </w:tc>
        <w:tc>
          <w:tcPr>
            <w:tcW w:type="dxa" w:w="1814"/>
            <w:vAlign w:val="center"/>
            <w:tcMar>
              <w:top w:w="100" w:type="dxa"/>
              <w:bottom w:w="100" w:type="dxa"/>
              <w:left w:w="150" w:type="dxa"/>
              <w:right w:w="150" w:type="dxa"/>
            </w:tcMar>
          </w:tcPr>
          <w:p>
            <w:pPr>
              <w:spacing w:line="276" w:lineRule="auto" w:before="40" w:after="40"/>
              <w:jc w:val="left"/>
            </w:pPr>
            <w:r>
              <w:rPr>
                <w:rFonts w:ascii="Times New Roman" w:hAnsi="Times New Roman"/>
                <w:sz w:val="24"/>
              </w:rPr>
              <w:t>Vượt chuẩn video nội soi y tế (&gt;= 30 FPS)</w:t>
            </w:r>
          </w:p>
        </w:tc>
      </w:tr>
    </w:tbl>
    <w:p>
      <w:pPr>
        <w:spacing w:line="300" w:lineRule="auto" w:before="60" w:after="60"/>
        <w:ind w:firstLine="720"/>
        <w:jc w:val="both"/>
      </w:pPr>
      <w:r>
        <w:rPr>
          <w:rFonts w:ascii="Times New Roman" w:hAnsi="Times New Roman"/>
          <w:b w:val="0"/>
          <w:i w:val="0"/>
          <w:sz w:val="26"/>
        </w:rPr>
        <w:t>Kết luận về khả năng ứng dụng lâm sàng: Tốc độ xử lý chuỗi đầu-cuối của C2IAVM đạt 40.0 FPS (tương ứng 25.0 ms/ảnh). Do tiêu chuẩn video của các hệ thống máy nội soi tiêu hóa hiện đại (như Olympus EVIS EXERA III, Fujifilm ELUXEO) hoạt động ở tần số quét chuẩn 25 - 30 FPS (chu kỳ 33.3 - 40.0 ms/frame), mô hình C2IAVM hoàn toàn đáp ứng xuất sắc yêu cầu hiển thị phân đoạn tổn thương theo thời gian thực mà không gây ra bất kỳ độ trễ giật lag nào ảnh hưởng đến thao tác của bác sĩ phẫu thuật.</w:t>
      </w:r>
    </w:p>
    <w:p>
      <w:pPr>
        <w:spacing w:before="240"/>
      </w:pPr>
    </w:p>
    <w:p>
      <w:pPr>
        <w:spacing w:after="40"/>
        <w:jc w:val="right"/>
      </w:pPr>
      <w:r>
        <w:rPr>
          <w:rFonts w:ascii="Times New Roman" w:hAnsi="Times New Roman"/>
          <w:i/>
          <w:sz w:val="26"/>
        </w:rPr>
        <w:t>TP. Hồ Chí Minh, ngày 20 tháng 09 năm 2026</w:t>
      </w:r>
    </w:p>
    <w:p>
      <w:pPr>
        <w:spacing w:after="600"/>
        <w:jc w:val="right"/>
      </w:pPr>
      <w:r>
        <w:rPr>
          <w:rFonts w:ascii="Times New Roman" w:hAnsi="Times New Roman"/>
          <w:b/>
          <w:sz w:val="26"/>
        </w:rPr>
        <w:t>ĐẠI DIỆN NHÓM SINH VIÊN THỰC HIỆN</w:t>
      </w:r>
    </w:p>
    <w:p>
      <w:pPr>
        <w:jc w:val="right"/>
      </w:pPr>
      <w:r>
        <w:rPr>
          <w:rFonts w:ascii="Times New Roman" w:hAnsi="Times New Roman"/>
          <w:b/>
          <w:sz w:val="26"/>
        </w:rPr>
        <w:t>Lê Đức Lương — Phùng Tuấn Huy — Trần Mạnh Toàn</w:t>
      </w:r>
    </w:p>
    <w:sectPr w:rsidR="00FC693F" w:rsidRPr="0006063C" w:rsidSect="00034616">
      <w:pgSz w:w="11906" w:h="16838"/>
      <w:pgMar w:top="850" w:right="1134" w:bottom="85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60" w:after="60"/>
      <w:jc w:val="both"/>
    </w:pPr>
    <w:rPr>
      <w:rFonts w:ascii="Times New Roman" w:hAnsi="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line="276" w:lineRule="auto"/>
      <w:outlineLvl w:val="0"/>
    </w:pPr>
    <w:rPr>
      <w:rFonts w:asciiTheme="majorHAnsi" w:eastAsiaTheme="majorEastAsia" w:hAnsiTheme="majorHAnsi" w:cstheme="majorBidi" w:ascii="Times New Roman" w:hAnsi="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line="276" w:lineRule="auto"/>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80" w:after="40" w:line="276" w:lineRule="auto"/>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